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E3612">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华文楷体" w:hAnsi="华文楷体" w:eastAsia="华文楷体" w:cs="华文楷体"/>
          <w:b/>
          <w:bCs/>
          <w:snapToGrid w:val="0"/>
          <w:color w:val="548235" w:themeColor="accent6" w:themeShade="BF"/>
          <w:kern w:val="0"/>
          <w:sz w:val="28"/>
          <w:szCs w:val="28"/>
          <w:lang w:val="en-US" w:eastAsia="zh-CN" w:bidi="ar"/>
        </w:rPr>
      </w:pPr>
    </w:p>
    <w:p w14:paraId="287E5B2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default" w:ascii="Times New Roman" w:hAnsi="Times New Roman" w:eastAsia="仿宋" w:cs="Times New Roman"/>
          <w:color w:val="04AC5C"/>
          <w:sz w:val="32"/>
          <w:szCs w:val="24"/>
          <w:lang w:val="en-US"/>
        </w:rPr>
      </w:pPr>
      <w:r>
        <w:rPr>
          <w:rFonts w:hint="eastAsia" w:ascii="华文楷体" w:hAnsi="华文楷体" w:eastAsia="华文楷体" w:cs="华文楷体"/>
          <w:b/>
          <w:bCs/>
          <w:snapToGrid w:val="0"/>
          <w:color w:val="04AC5C"/>
          <w:kern w:val="0"/>
          <w:sz w:val="28"/>
          <w:szCs w:val="28"/>
          <w:lang w:val="en-US" w:eastAsia="zh-CN" w:bidi="ar"/>
        </w:rPr>
        <w:t>第143期</w:t>
      </w:r>
    </w:p>
    <w:p w14:paraId="62D56D6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both"/>
        <w:textAlignment w:val="baseline"/>
        <w:rPr>
          <w:rFonts w:hint="default" w:ascii="Arial" w:hAnsi="Times New Roman" w:eastAsia="仿宋" w:cs="Times New Roman"/>
          <w:color w:val="04AC5C"/>
          <w:sz w:val="21"/>
          <w:szCs w:val="24"/>
          <w:lang w:val="en-US"/>
        </w:rPr>
      </w:pPr>
      <w:r>
        <w:rPr>
          <w:rFonts w:ascii="华文楷体" w:hAnsi="华文楷体" w:eastAsia="华文楷体" w:cs="华文楷体"/>
          <w:b/>
          <w:bCs/>
          <w:snapToGrid w:val="0"/>
          <w:color w:val="04AC5C"/>
          <w:kern w:val="0"/>
          <w:sz w:val="28"/>
          <w:szCs w:val="28"/>
          <w:u w:val="single" w:color="auto"/>
          <w:lang w:val="en-US" w:eastAsia="zh-CN" w:bidi="ar"/>
        </w:rPr>
        <w:t>信息部                                            2026年7月</w:t>
      </w:r>
    </w:p>
    <w:p w14:paraId="59B0599D">
      <w:pPr>
        <w:keepNext/>
        <w:keepLines/>
        <w:widowControl w:val="0"/>
        <w:numPr>
          <w:ilvl w:val="0"/>
          <w:numId w:val="0"/>
        </w:numPr>
        <w:bidi w:val="0"/>
        <w:spacing w:before="260" w:beforeLines="0" w:beforeAutospacing="0" w:after="260" w:afterLines="0" w:afterAutospacing="0" w:line="413" w:lineRule="auto"/>
        <w:jc w:val="left"/>
        <w:outlineLvl w:val="1"/>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每周资讯|上半年中国GDP总量同增4.7%；上半年外贸首破25万亿元；集成电路日均产量超15亿块</w:t>
      </w:r>
    </w:p>
    <w:p w14:paraId="03F497D5">
      <w:pPr>
        <w:keepNext/>
        <w:keepLines/>
        <w:widowControl w:val="0"/>
        <w:numPr>
          <w:ilvl w:val="0"/>
          <w:numId w:val="1"/>
        </w:numPr>
        <w:bidi w:val="0"/>
        <w:spacing w:before="260" w:beforeLines="0" w:beforeAutospacing="0" w:after="260" w:afterLines="0" w:afterAutospacing="0" w:line="413" w:lineRule="auto"/>
        <w:jc w:val="left"/>
        <w:outlineLvl w:val="1"/>
        <w:rPr>
          <w:rFonts w:hint="eastAsia" w:ascii="Times New Roman" w:hAnsi="Times New Roman" w:eastAsia="仿宋" w:cs="Times New Roman"/>
          <w:sz w:val="32"/>
          <w:szCs w:val="24"/>
          <w:highlight w:val="none"/>
          <w:lang w:val="en-US" w:eastAsia="zh-CN"/>
        </w:rPr>
      </w:pPr>
      <w:r>
        <w:rPr>
          <w:rFonts w:hint="eastAsia" w:ascii="Arial" w:hAnsi="Arial" w:eastAsia="黑体" w:cs="Times New Roman"/>
          <w:b/>
          <w:kern w:val="2"/>
          <w:sz w:val="32"/>
          <w:szCs w:val="24"/>
          <w:lang w:val="en-US" w:eastAsia="zh-CN" w:bidi="ar-SA"/>
        </w:rPr>
        <w:t>行业</w:t>
      </w:r>
    </w:p>
    <w:p w14:paraId="6B1DB1EC">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今年上半年中国GDP总量达到69.57万亿元，同比增长4.7%</w:t>
      </w:r>
    </w:p>
    <w:p w14:paraId="186E51E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15日，国务院新闻办公室举行新闻发布会，国家统计局发布的数据显示，今年上半年，中国经济顶住压力，有效应对外部冲击挑战，国内生产总值同比增长4.7%，延续了总体平稳、向新向优的发展态势，展现出强大的韧性和活力。经济运行总体平稳，主要指标运行在合理区间。今年上半年，国内生产总值总量达到69.6万亿元，同比增长4.7%，增速符合全年经济增长预期目标。（证券时报）</w:t>
      </w:r>
    </w:p>
    <w:p w14:paraId="11291F2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p>
    <w:p w14:paraId="39787E5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央行公告将开展1.4万亿元6个月期买断式逆回购，保持流动性合理充裕</w:t>
      </w:r>
    </w:p>
    <w:p w14:paraId="1E95CF83">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7月14日，中国人民银行公告，为保持银行体系流动性充裕，将于7月15日以固定数量、利率招标、多重价位中标方式开展14000亿元买断式逆回购操作，期限为6个月（184天）。同日，央行以固定利率、数量招标方式开展2365亿元7天期逆回购操作，操作利率1.40%，因当日有100亿元逆回购到期，公开市场实现净投放2265亿元。1.4万亿元规模创该工具单次操作新高，对应到期后净投放约5000亿元。（中国人民银行）</w:t>
      </w:r>
    </w:p>
    <w:p w14:paraId="3A30106E">
      <w:pPr>
        <w:spacing w:line="360" w:lineRule="auto"/>
        <w:jc w:val="left"/>
        <w:rPr>
          <w:rFonts w:hint="eastAsia" w:ascii="Times New Roman" w:hAnsi="Times New Roman" w:eastAsia="仿宋" w:cs="Times New Roman"/>
          <w:sz w:val="32"/>
          <w:szCs w:val="24"/>
          <w:lang w:val="en-US" w:eastAsia="zh-CN"/>
        </w:rPr>
      </w:pPr>
    </w:p>
    <w:p w14:paraId="0EB3092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海关总署：上半年外贸首破25万亿元，算力硬件进出口增长56.6%</w:t>
      </w:r>
    </w:p>
    <w:p w14:paraId="07841AAF">
      <w:pPr>
        <w:spacing w:line="360" w:lineRule="auto"/>
        <w:ind w:firstLine="640" w:firstLineChars="200"/>
        <w:jc w:val="left"/>
        <w:rPr>
          <w:rFonts w:hint="eastAsia" w:ascii="Times New Roman" w:hAnsi="Times New Roman" w:eastAsia="仿宋" w:cs="Times New Roman"/>
          <w:sz w:val="32"/>
          <w:szCs w:val="24"/>
          <w:lang w:val="en-US" w:eastAsia="zh-CN"/>
        </w:rPr>
      </w:pPr>
      <w:r>
        <w:rPr>
          <w:rFonts w:hint="eastAsia" w:ascii="Times New Roman" w:hAnsi="Times New Roman" w:eastAsia="仿宋" w:cs="Times New Roman"/>
          <w:sz w:val="32"/>
          <w:szCs w:val="24"/>
          <w:lang w:val="en-US" w:eastAsia="zh-CN"/>
        </w:rPr>
        <w:t>7月14日，国新办举行新闻发布会介绍2026年上半年货物贸易进出口情况。海关总署数据显示，上半年我国货物贸易进出口总值25.47万亿元，同比增长16.9%，历史同期首次突破25万亿元；其中出口14.73万亿元，增长13.4%，进口10.74万亿元，增长22.1%。海关总署副署长王军指出，上半年电子元件、电脑零部件等算力硬件进出口达5.13万亿元，增长56.6%；机电产品出口9.36万亿元，增长20.1%，占出口总值的63.5%。（海关总署）</w:t>
      </w:r>
    </w:p>
    <w:p w14:paraId="699A251B">
      <w:pPr>
        <w:spacing w:line="360" w:lineRule="auto"/>
        <w:ind w:firstLine="640" w:firstLineChars="200"/>
        <w:jc w:val="left"/>
        <w:rPr>
          <w:rFonts w:hint="eastAsia" w:ascii="Times New Roman" w:hAnsi="Times New Roman" w:eastAsia="仿宋" w:cs="Times New Roman"/>
          <w:sz w:val="32"/>
          <w:szCs w:val="24"/>
          <w:lang w:val="en-US" w:eastAsia="zh-CN"/>
        </w:rPr>
      </w:pPr>
    </w:p>
    <w:p w14:paraId="156C9588">
      <w:pPr>
        <w:keepNext/>
        <w:keepLines/>
        <w:widowControl w:val="0"/>
        <w:numPr>
          <w:ilvl w:val="0"/>
          <w:numId w:val="1"/>
        </w:numPr>
        <w:bidi w:val="0"/>
        <w:spacing w:before="260" w:beforeLines="0" w:beforeAutospacing="0" w:after="260" w:afterLines="0" w:afterAutospacing="0" w:line="413" w:lineRule="auto"/>
        <w:ind w:left="0" w:leftChars="0" w:firstLine="0" w:firstLineChars="0"/>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市场</w:t>
      </w:r>
    </w:p>
    <w:p w14:paraId="5AC598AC">
      <w:pPr>
        <w:spacing w:line="360" w:lineRule="auto"/>
        <w:ind w:firstLine="640" w:firstLineChars="200"/>
        <w:jc w:val="left"/>
        <w:rPr>
          <w:rFonts w:hint="eastAsia" w:ascii="Times New Roman" w:hAnsi="Times New Roman" w:eastAsia="仿宋" w:cs="Times New Roman"/>
          <w:sz w:val="32"/>
          <w:szCs w:val="24"/>
          <w:lang w:val="en-US" w:eastAsia="zh-CN"/>
        </w:rPr>
      </w:pPr>
    </w:p>
    <w:p w14:paraId="0E88FBD5">
      <w:pPr>
        <w:spacing w:line="240" w:lineRule="auto"/>
        <w:ind w:left="0" w:leftChars="0" w:firstLine="0" w:firstLineChars="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国家统计局：上半年我国规模以上工业企业集成电路产量增长23.1%</w:t>
      </w:r>
    </w:p>
    <w:p w14:paraId="156AD842">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15日，国家统计局国民经济综合统计司负责人王冠华在国新办新闻发布会上介绍，上半年规模以上高技术制造业增加值、数字产品制造业增加值分别增长13.3%和12.3%，比一季度均有所加快。受全球人工智能技术变革带动高端算力芯片和存储芯片需求爆发影响，上半年我国规模以上工业企业集成电路产量增长23.1%，产量规模达到2798亿块，平均每天生产集成电路超过15亿块。新动能以两成多的增加值占比贡献了近五成工业增长，电子信息产业宏观景气度持续抬升。（国家统计局）</w:t>
      </w:r>
    </w:p>
    <w:p w14:paraId="47CA1C8F">
      <w:pPr>
        <w:spacing w:line="240" w:lineRule="auto"/>
        <w:ind w:left="0" w:leftChars="0" w:firstLine="640" w:firstLineChars="200"/>
        <w:jc w:val="left"/>
        <w:rPr>
          <w:rFonts w:hint="default" w:ascii="Times New Roman" w:hAnsi="Times New Roman" w:eastAsia="仿宋" w:cs="Times New Roman"/>
          <w:sz w:val="32"/>
          <w:szCs w:val="24"/>
          <w:highlight w:val="none"/>
          <w:lang w:val="en-US" w:eastAsia="zh-CN"/>
        </w:rPr>
      </w:pPr>
    </w:p>
    <w:p w14:paraId="2644C559">
      <w:pPr>
        <w:spacing w:line="240" w:lineRule="auto"/>
        <w:ind w:left="0" w:leftChars="0" w:firstLine="0" w:firstLineChars="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中汽协：6月新能源汽车产销同比分别增长26%和23.6%</w:t>
      </w:r>
    </w:p>
    <w:p w14:paraId="16D8ABEC">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9日，中国汽车工业协会公布数据显示，6月汽车产销分别完成276万辆和281万辆，环比分别增长5.5%和6.9%，同比分别下降1.2%和3.2%。其中，新能源汽车产销分别完成159.8万辆和164.3万辆，同比分别增长26%和23.6%，新能源汽车新车销量占汽车新车总销量的58.5%。6月新能源汽车出口52.3万辆，同比增长1.6倍；1—6月新能源汽车产销分别完成743.8万辆和744.6万辆，同比分别增长6.7%和7.3%。（中国汽车工业协会）</w:t>
      </w:r>
    </w:p>
    <w:p w14:paraId="4E914E51">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5AD92B3D">
      <w:pPr>
        <w:spacing w:line="360" w:lineRule="auto"/>
        <w:ind w:firstLine="643" w:firstLineChars="200"/>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全球智能手机二季度出货量下滑，存储涨价加剧市场分化</w:t>
      </w:r>
    </w:p>
    <w:p w14:paraId="4804EA49">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13日，IDC、Counterpoint、Omdia等机构陆续发布初步统计：2026年第二季度全球智能手机出货量延续下滑。IDC数据显示当季出货约2.775亿部，同比下降6.7%，连续第二个季度同比下滑；Counterpoint称同比下滑约11%，创2013年以来第二季度较低水平；Omdia数据显示同比下降约4%。三星、苹果等品牌逆势增长，小米、OPPO、vivo等因入门与中端机型对存储成本更敏感而出现两位数跌幅。（IDC/Counterpoint/Omdia）</w:t>
      </w:r>
    </w:p>
    <w:p w14:paraId="511F491A">
      <w:pPr>
        <w:spacing w:line="240" w:lineRule="auto"/>
        <w:ind w:left="0" w:leftChars="0" w:firstLine="640" w:firstLineChars="200"/>
        <w:jc w:val="left"/>
        <w:rPr>
          <w:rFonts w:hint="eastAsia" w:ascii="Times New Roman" w:hAnsi="Times New Roman" w:eastAsia="仿宋" w:cs="Times New Roman"/>
          <w:sz w:val="32"/>
          <w:szCs w:val="24"/>
          <w:highlight w:val="none"/>
          <w:lang w:val="en-US" w:eastAsia="zh-CN"/>
        </w:rPr>
      </w:pPr>
    </w:p>
    <w:p w14:paraId="4D02DBEA">
      <w:pPr>
        <w:keepNext/>
        <w:keepLines/>
        <w:widowControl w:val="0"/>
        <w:numPr>
          <w:ilvl w:val="0"/>
          <w:numId w:val="1"/>
        </w:numPr>
        <w:bidi w:val="0"/>
        <w:spacing w:before="260" w:beforeLines="0" w:beforeAutospacing="0" w:after="260" w:afterLines="0" w:afterAutospacing="0" w:line="413" w:lineRule="auto"/>
        <w:ind w:left="0" w:leftChars="0" w:firstLine="0" w:firstLineChars="0"/>
        <w:jc w:val="left"/>
        <w:outlineLvl w:val="1"/>
        <w:rPr>
          <w:rFonts w:hint="eastAsia" w:ascii="Arial" w:hAnsi="Arial" w:eastAsia="黑体" w:cs="Times New Roman"/>
          <w:b/>
          <w:kern w:val="2"/>
          <w:sz w:val="32"/>
          <w:szCs w:val="24"/>
          <w:lang w:val="en-US" w:eastAsia="zh-CN" w:bidi="ar-SA"/>
        </w:rPr>
      </w:pPr>
      <w:r>
        <w:rPr>
          <w:rFonts w:hint="eastAsia" w:ascii="Arial" w:hAnsi="Arial" w:eastAsia="黑体" w:cs="Times New Roman"/>
          <w:b/>
          <w:kern w:val="2"/>
          <w:sz w:val="32"/>
          <w:szCs w:val="24"/>
          <w:lang w:val="en-US" w:eastAsia="zh-CN" w:bidi="ar-SA"/>
        </w:rPr>
        <w:t>企业</w:t>
      </w:r>
    </w:p>
    <w:p w14:paraId="5213A509">
      <w:pPr>
        <w:spacing w:line="360" w:lineRule="auto"/>
        <w:jc w:val="center"/>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贤丰控股拟出资6018万元设立合资公司，布局消费类PCB业务</w:t>
      </w:r>
    </w:p>
    <w:p w14:paraId="2745B72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15日，贤丰控股公告，公司全资子公司贤丰电子科技（东莞）有限公司与广东盈硕电子有限公司签署协议，共同出资设立贤丰盈硕科技有限公司，注册资本1.18亿元。其中，贤丰东莞以货币出资6018万元，持股51%；广东盈硕以货币及实物出资5782万元，持股49%。合资公司主要从事应用于消费领域的PCB研发、生产和销售。本次对外投资标志着公司正式切入印制电路板制造环节，完善电子产业链布局。（贤丰控股公司公告）</w:t>
      </w:r>
    </w:p>
    <w:p w14:paraId="2506E90D">
      <w:pPr>
        <w:keepNext/>
        <w:keepLines/>
        <w:widowControl w:val="0"/>
        <w:numPr>
          <w:ilvl w:val="0"/>
          <w:numId w:val="0"/>
        </w:numPr>
        <w:bidi w:val="0"/>
        <w:spacing w:before="260" w:beforeLines="0" w:beforeAutospacing="0" w:after="260" w:afterLines="0" w:afterAutospacing="0" w:line="413" w:lineRule="auto"/>
        <w:ind w:leftChars="0"/>
        <w:jc w:val="left"/>
        <w:outlineLvl w:val="1"/>
        <w:rPr>
          <w:rFonts w:hint="eastAsia" w:ascii="Arial" w:hAnsi="Arial" w:eastAsia="黑体" w:cs="Times New Roman"/>
          <w:b/>
          <w:kern w:val="2"/>
          <w:sz w:val="32"/>
          <w:szCs w:val="24"/>
          <w:lang w:val="en-US" w:eastAsia="zh-CN" w:bidi="ar-SA"/>
        </w:rPr>
      </w:pPr>
    </w:p>
    <w:p w14:paraId="7BBFDE17">
      <w:pPr>
        <w:spacing w:line="360" w:lineRule="auto"/>
        <w:jc w:val="center"/>
        <w:rPr>
          <w:rFonts w:hint="default"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信维通信拟收购益阳电子科技55%股权，加码高端MLCC布局</w:t>
      </w:r>
    </w:p>
    <w:p w14:paraId="03F24179">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7月14日</w:t>
      </w:r>
      <w:bookmarkStart w:id="0" w:name="_GoBack"/>
      <w:bookmarkEnd w:id="0"/>
      <w:r>
        <w:rPr>
          <w:rFonts w:hint="eastAsia" w:ascii="Times New Roman" w:hAnsi="Times New Roman" w:eastAsia="仿宋" w:cs="Times New Roman"/>
          <w:sz w:val="32"/>
          <w:szCs w:val="24"/>
          <w:highlight w:val="none"/>
          <w:lang w:val="en-US" w:eastAsia="zh-CN"/>
        </w:rPr>
        <w:t>，信维通信公告，全资子公司信维通信（益阳）有限公司拟以现金方式收购信维电子科技（益阳）有限公司55%股权，交易对价不超过11亿元；收购完成后持股比例将提升至70%并取得控制权，各方还约定后续对标的公司增资10亿元。公司表示，此举旨在满足全球客户对高端MLCC产品的快速增长需求，加快在高端被动元件领域的战略布局，服务AI算力、消费电子及新能源汽车等下游应用。（财联社）</w:t>
      </w:r>
    </w:p>
    <w:p w14:paraId="62A5C3F7">
      <w:pPr>
        <w:spacing w:line="360" w:lineRule="auto"/>
        <w:jc w:val="left"/>
        <w:rPr>
          <w:rFonts w:hint="eastAsia" w:ascii="Times New Roman" w:hAnsi="Times New Roman" w:eastAsia="仿宋" w:cs="Times New Roman"/>
          <w:sz w:val="32"/>
          <w:szCs w:val="24"/>
          <w:highlight w:val="none"/>
          <w:lang w:val="en-US" w:eastAsia="zh-CN"/>
        </w:rPr>
      </w:pPr>
    </w:p>
    <w:p w14:paraId="68B21210">
      <w:pPr>
        <w:spacing w:line="360" w:lineRule="auto"/>
        <w:jc w:val="left"/>
        <w:rPr>
          <w:rFonts w:hint="eastAsia" w:ascii="Times New Roman" w:hAnsi="Times New Roman" w:eastAsia="仿宋" w:cs="Times New Roman"/>
          <w:sz w:val="32"/>
          <w:szCs w:val="24"/>
          <w:highlight w:val="none"/>
          <w:lang w:val="en-US" w:eastAsia="zh-CN"/>
        </w:rPr>
      </w:pPr>
    </w:p>
    <w:p w14:paraId="7CF2C053">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汇成股份关联方拟投不低于75亿元建设HITS先进封装项目</w:t>
      </w:r>
    </w:p>
    <w:p w14:paraId="1961B372">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13日晚间，汇成股份公告，上海郑隆芯创微电子有限公司计划在上海市嘉定区南翔镇投资建设“HITS先进封装研发产业化项目”，投资总额预计不低于75亿元，整体建设工期约42个月。公司拟拓展高速互联先进封装工艺平台，重点关注超窄间距凸块键合、超细线路互连、超大尺寸芯片系统整合封装及高密度再布线层等技术，以满足更高集成度、更高性能封装测试需求，把握AI及高性能计算领域增长机遇。该事项尚需提交股东会审议批准。（科创板日报）</w:t>
      </w:r>
    </w:p>
    <w:p w14:paraId="161761F8">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01CB4597">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芯联集成12英寸车规级数模混合芯片项目开工，总投资约200亿元</w:t>
      </w:r>
    </w:p>
    <w:p w14:paraId="2CE32163">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14日，芯联集成12英寸车规级数模混合芯片制造项目在杭绍临空示范区绍兴片区开工。该项目为公司四期重点工程，计划总投资约200亿元，新建一条月产能5万片的芯片生产线，核心产品涵盖MCU/DSP、BCD/DrMOS等模拟电路及硅光/激光驱动等芯片，建成达产后预计年产值超55亿元。项目在巩固新能源汽车和工业控制市场基础上，切入AI服务器电源、光互联等新赛道，增强高端模拟及功率芯片制造能力。（中电网）</w:t>
      </w:r>
    </w:p>
    <w:p w14:paraId="1CBF58D8">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7E5D4754">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沪电股份：公司收购昆山普江仓储设施有限公司100%股权，将厂房用于产能扩建</w:t>
      </w:r>
    </w:p>
    <w:p w14:paraId="5782AC31">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15日，沪电股份在接受调研者提问时表示，在国内兼顾短期效益与长期发展，一方面聚焦高阶PCB的瓶颈及关键制程，实施迭代升级与靶向性产能扩充，持续深挖现有厂区的高附加值产出潜力，另一方面，加快推进高端扩产项目的建设，2026年第一季度公司加速启动了一系列产能扩充计划。公司于2026年6月收购昆山普江仓储设施有限公司100%股权，将普江仓储的厂房用于产能扩建。扩产并非简单的规模复制，而是分阶段达成产能的升级式扩容，旨在提前卡位优质产能，以更好地满足头部客户群体的需求。（新浪财经）</w:t>
      </w:r>
    </w:p>
    <w:p w14:paraId="407368CE">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45CEBE7E">
      <w:pPr>
        <w:spacing w:line="360" w:lineRule="auto"/>
        <w:jc w:val="center"/>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中国巨石：巨石集团拟投资24.05亿元建设年产2.5亿米电子布生产线</w:t>
      </w:r>
    </w:p>
    <w:p w14:paraId="2CFB7503">
      <w:pPr>
        <w:spacing w:line="360" w:lineRule="auto"/>
        <w:ind w:firstLine="640" w:firstLineChars="200"/>
        <w:jc w:val="left"/>
        <w:rPr>
          <w:rFonts w:hint="eastAsia" w:ascii="Times New Roman" w:hAnsi="Times New Roman" w:eastAsia="仿宋" w:cs="Times New Roman"/>
          <w:sz w:val="32"/>
          <w:szCs w:val="24"/>
          <w:highlight w:val="none"/>
          <w:lang w:val="en-US" w:eastAsia="zh-CN"/>
        </w:rPr>
      </w:pPr>
      <w:r>
        <w:rPr>
          <w:rFonts w:hint="eastAsia" w:ascii="Times New Roman" w:hAnsi="Times New Roman" w:eastAsia="仿宋" w:cs="Times New Roman"/>
          <w:sz w:val="32"/>
          <w:szCs w:val="24"/>
          <w:highlight w:val="none"/>
          <w:lang w:val="en-US" w:eastAsia="zh-CN"/>
        </w:rPr>
        <w:t>7月15日，中国巨石发布公告，公司的全资子公司巨石集团有限公司拟建设年产2.5亿米电子布生产线项目，总投资金额为24.05亿元。项目建设地点位于浙江省桐乡经济开发区，预计建设周期1.5年，全部建成后，预计总投资收益率为13.27%。2026年一季度，中国巨石实现收入52.82亿元，归母净利润12.67亿元。（新浪财经）</w:t>
      </w:r>
    </w:p>
    <w:p w14:paraId="71267A91">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4B8817E0">
      <w:pPr>
        <w:spacing w:line="360" w:lineRule="auto"/>
        <w:ind w:firstLine="640" w:firstLineChars="200"/>
        <w:jc w:val="left"/>
        <w:rPr>
          <w:rFonts w:hint="eastAsia" w:ascii="Times New Roman" w:hAnsi="Times New Roman" w:eastAsia="仿宋" w:cs="Times New Roman"/>
          <w:sz w:val="32"/>
          <w:szCs w:val="24"/>
          <w:highlight w:val="none"/>
          <w:lang w:val="en-US" w:eastAsia="zh-CN"/>
        </w:rPr>
      </w:pPr>
    </w:p>
    <w:p w14:paraId="4F961920">
      <w:pPr>
        <w:spacing w:line="360" w:lineRule="auto"/>
        <w:jc w:val="right"/>
        <w:rPr>
          <w:rFonts w:hint="eastAsia" w:ascii="Arial" w:hAnsi="Arial" w:eastAsia="黑体" w:cs="Times New Roman"/>
          <w:b/>
          <w:kern w:val="2"/>
          <w:sz w:val="32"/>
          <w:szCs w:val="24"/>
          <w:highlight w:val="none"/>
          <w:lang w:val="en-US" w:eastAsia="zh-CN" w:bidi="ar-SA"/>
        </w:rPr>
      </w:pPr>
      <w:r>
        <w:rPr>
          <w:rFonts w:hint="eastAsia" w:ascii="Arial" w:hAnsi="Arial" w:eastAsia="黑体" w:cs="Times New Roman"/>
          <w:b/>
          <w:kern w:val="2"/>
          <w:sz w:val="32"/>
          <w:szCs w:val="24"/>
          <w:highlight w:val="none"/>
          <w:lang w:val="en-US" w:eastAsia="zh-CN" w:bidi="ar-SA"/>
        </w:rPr>
        <w:t>更多精彩内容请扫描下方二维码，关注CPCA服务号</w:t>
      </w:r>
    </w:p>
    <w:p w14:paraId="34918E87">
      <w:pPr>
        <w:spacing w:line="360" w:lineRule="auto"/>
        <w:ind w:firstLine="640" w:firstLineChars="200"/>
        <w:jc w:val="right"/>
        <w:rPr>
          <w:rFonts w:hint="eastAsia" w:ascii="华文仿宋" w:hAnsi="华文仿宋" w:eastAsia="华文仿宋" w:cs="华文仿宋"/>
          <w:color w:val="000000"/>
          <w:kern w:val="0"/>
          <w:sz w:val="28"/>
          <w:szCs w:val="28"/>
          <w:lang w:val="en-US" w:eastAsia="zh-CN" w:bidi="ar"/>
        </w:rPr>
      </w:pPr>
      <w:r>
        <w:rPr>
          <w:rFonts w:hint="eastAsia" w:ascii="Times New Roman" w:hAnsi="Times New Roman" w:eastAsia="仿宋" w:cs="Times New Roman"/>
          <w:sz w:val="32"/>
          <w:szCs w:val="24"/>
          <w:highlight w:val="none"/>
          <w:lang w:val="en-US" w:eastAsia="zh-CN"/>
        </w:rPr>
        <w:t>撰稿人：张国旗</w:t>
      </w:r>
    </w:p>
    <w:p w14:paraId="2387C8E8">
      <w:pPr>
        <w:keepNext w:val="0"/>
        <w:keepLines w:val="0"/>
        <w:widowControl/>
        <w:suppressLineNumbers w:val="0"/>
        <w:spacing w:line="360" w:lineRule="auto"/>
        <w:ind w:firstLine="0" w:firstLineChars="0"/>
        <w:jc w:val="righ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审核：张运</w:t>
      </w:r>
    </w:p>
    <w:p w14:paraId="044B3D61">
      <w:pPr>
        <w:widowControl w:val="0"/>
        <w:bidi w:val="0"/>
        <w:spacing w:line="240" w:lineRule="auto"/>
        <w:ind w:left="0" w:leftChars="0" w:firstLine="0" w:firstLineChars="0"/>
        <w:jc w:val="right"/>
        <w:rPr>
          <w:rFonts w:hint="default" w:ascii="Times New Roman" w:hAnsi="Times New Roman" w:eastAsia="仿宋" w:cs="Times New Roman"/>
          <w:sz w:val="32"/>
          <w:szCs w:val="24"/>
          <w:lang w:val="en-US" w:eastAsia="zh-CN"/>
        </w:rPr>
      </w:pPr>
      <w:r>
        <w:rPr>
          <w:rFonts w:ascii="Times New Roman" w:hAnsi="Times New Roman" w:eastAsia="仿宋" w:cs="Times New Roman"/>
          <w:sz w:val="32"/>
          <w:szCs w:val="24"/>
        </w:rPr>
        <w:drawing>
          <wp:inline distT="0" distB="0" distL="114300" distR="114300">
            <wp:extent cx="1187450" cy="1168400"/>
            <wp:effectExtent l="0" t="0" r="6350"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5"/>
                    <a:stretch>
                      <a:fillRect/>
                    </a:stretch>
                  </pic:blipFill>
                  <pic:spPr>
                    <a:xfrm>
                      <a:off x="0" y="0"/>
                      <a:ext cx="1187450" cy="1168400"/>
                    </a:xfrm>
                    <a:prstGeom prst="rect">
                      <a:avLst/>
                    </a:prstGeom>
                    <a:noFill/>
                    <a:ln>
                      <a:noFill/>
                    </a:ln>
                  </pic:spPr>
                </pic:pic>
              </a:graphicData>
            </a:graphic>
          </wp:inline>
        </w:drawing>
      </w:r>
    </w:p>
    <w:p w14:paraId="077ACD8E">
      <w:r>
        <w:rPr>
          <w:rFonts w:hint="default" w:ascii="Times New Roman" w:hAnsi="Times New Roman" w:eastAsia="仿宋" w:cs="Times New Roman"/>
          <w:kern w:val="0"/>
          <w:sz w:val="24"/>
          <w:szCs w:val="24"/>
          <w:lang w:val="en-US" w:eastAsia="zh-CN" w:bidi="ar"/>
        </w:rPr>
        <w:drawing>
          <wp:inline distT="0" distB="0" distL="114300" distR="114300">
            <wp:extent cx="5273675" cy="3503295"/>
            <wp:effectExtent l="0" t="0" r="9525" b="1905"/>
            <wp:docPr id="2" name="图片 2" descr="467b3544aa10c7b69a0d3f65ce8dd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67b3544aa10c7b69a0d3f65ce8dd4d2"/>
                    <pic:cNvPicPr>
                      <a:picLocks noChangeAspect="1"/>
                    </pic:cNvPicPr>
                  </pic:nvPicPr>
                  <pic:blipFill>
                    <a:blip r:embed="rId6"/>
                    <a:stretch>
                      <a:fillRect/>
                    </a:stretch>
                  </pic:blipFill>
                  <pic:spPr>
                    <a:xfrm>
                      <a:off x="0" y="0"/>
                      <a:ext cx="5273675" cy="3503295"/>
                    </a:xfrm>
                    <a:prstGeom prst="rect">
                      <a:avLst/>
                    </a:prstGeom>
                  </pic:spPr>
                </pic:pic>
              </a:graphicData>
            </a:graphic>
          </wp:inline>
        </w:drawing>
      </w:r>
    </w:p>
    <w:sectPr>
      <w:headerReference r:id="rId3" w:type="default"/>
      <w:pgSz w:w="11906" w:h="16838"/>
      <w:pgMar w:top="156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F4FE4">
    <w:pPr>
      <w:pStyle w:val="4"/>
      <w:pBdr>
        <w:bottom w:val="none" w:color="auto" w:sz="0" w:space="0"/>
      </w:pBdr>
      <w:jc w:val="both"/>
    </w:pPr>
    <w:r>
      <w:drawing>
        <wp:anchor distT="0" distB="0" distL="114300" distR="114300" simplePos="0" relativeHeight="251659264" behindDoc="1" locked="0" layoutInCell="1" allowOverlap="1">
          <wp:simplePos x="0" y="0"/>
          <wp:positionH relativeFrom="margin">
            <wp:align>center</wp:align>
          </wp:positionH>
          <wp:positionV relativeFrom="paragraph">
            <wp:posOffset>69215</wp:posOffset>
          </wp:positionV>
          <wp:extent cx="6782435" cy="513080"/>
          <wp:effectExtent l="0" t="0" r="0" b="1270"/>
          <wp:wrapTight wrapText="bothSides">
            <wp:wrapPolygon>
              <wp:start x="15713" y="0"/>
              <wp:lineTo x="0" y="0"/>
              <wp:lineTo x="0" y="18446"/>
              <wp:lineTo x="5703" y="20851"/>
              <wp:lineTo x="21477" y="20851"/>
              <wp:lineTo x="21477" y="17644"/>
              <wp:lineTo x="20203" y="13634"/>
              <wp:lineTo x="19232" y="12832"/>
              <wp:lineTo x="21355" y="8822"/>
              <wp:lineTo x="21477" y="4812"/>
              <wp:lineTo x="20809" y="0"/>
              <wp:lineTo x="15713" y="0"/>
            </wp:wrapPolygon>
          </wp:wrapTight>
          <wp:docPr id="1" name="图片 1" descr="C:\Users\Administrator\Desktop\未标题-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未标题-1.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782585" cy="51308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3DB433"/>
    <w:multiLevelType w:val="singleLevel"/>
    <w:tmpl w:val="B13DB4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87"/>
    <w:rsid w:val="00065C06"/>
    <w:rsid w:val="0035113B"/>
    <w:rsid w:val="003A66A4"/>
    <w:rsid w:val="004F2A87"/>
    <w:rsid w:val="006B3D1E"/>
    <w:rsid w:val="007065AE"/>
    <w:rsid w:val="0073199B"/>
    <w:rsid w:val="007456A0"/>
    <w:rsid w:val="008355BB"/>
    <w:rsid w:val="009014D3"/>
    <w:rsid w:val="00C372FC"/>
    <w:rsid w:val="00D65DCA"/>
    <w:rsid w:val="00E70812"/>
    <w:rsid w:val="00F70C01"/>
    <w:rsid w:val="00FF5190"/>
    <w:rsid w:val="045F663E"/>
    <w:rsid w:val="06B47FC9"/>
    <w:rsid w:val="071C1AB9"/>
    <w:rsid w:val="07221569"/>
    <w:rsid w:val="07DD40F6"/>
    <w:rsid w:val="083B7C49"/>
    <w:rsid w:val="0CB1267E"/>
    <w:rsid w:val="0E0A67C5"/>
    <w:rsid w:val="0E73679E"/>
    <w:rsid w:val="0FA436B7"/>
    <w:rsid w:val="0FAD6545"/>
    <w:rsid w:val="0FC0235B"/>
    <w:rsid w:val="10CF4D8A"/>
    <w:rsid w:val="164B0998"/>
    <w:rsid w:val="16E96798"/>
    <w:rsid w:val="18700773"/>
    <w:rsid w:val="1CDA2E0B"/>
    <w:rsid w:val="21A55BAC"/>
    <w:rsid w:val="21A60DC4"/>
    <w:rsid w:val="225C17EC"/>
    <w:rsid w:val="236405A0"/>
    <w:rsid w:val="25AF1BE4"/>
    <w:rsid w:val="25B55B0A"/>
    <w:rsid w:val="25EE16C9"/>
    <w:rsid w:val="264A2919"/>
    <w:rsid w:val="266175BF"/>
    <w:rsid w:val="27003495"/>
    <w:rsid w:val="28C049EA"/>
    <w:rsid w:val="29163431"/>
    <w:rsid w:val="29EF0897"/>
    <w:rsid w:val="2B767FBE"/>
    <w:rsid w:val="2BF15CE7"/>
    <w:rsid w:val="2D364384"/>
    <w:rsid w:val="2DC669A6"/>
    <w:rsid w:val="2E4775E3"/>
    <w:rsid w:val="2EDE3EE6"/>
    <w:rsid w:val="315179C6"/>
    <w:rsid w:val="33274995"/>
    <w:rsid w:val="33A475BE"/>
    <w:rsid w:val="33C137F8"/>
    <w:rsid w:val="369A381C"/>
    <w:rsid w:val="36ED7D2B"/>
    <w:rsid w:val="37CF5FD6"/>
    <w:rsid w:val="381216B5"/>
    <w:rsid w:val="38AD19AF"/>
    <w:rsid w:val="39431EEE"/>
    <w:rsid w:val="39F27144"/>
    <w:rsid w:val="3A522D3D"/>
    <w:rsid w:val="3A6D2312"/>
    <w:rsid w:val="3B265F2E"/>
    <w:rsid w:val="3B766568"/>
    <w:rsid w:val="3ED15FEF"/>
    <w:rsid w:val="3EDF266A"/>
    <w:rsid w:val="3F233925"/>
    <w:rsid w:val="3FDD3C4F"/>
    <w:rsid w:val="40297E1C"/>
    <w:rsid w:val="44BD69EB"/>
    <w:rsid w:val="456055DE"/>
    <w:rsid w:val="45F31C63"/>
    <w:rsid w:val="45FD6761"/>
    <w:rsid w:val="461343DB"/>
    <w:rsid w:val="4ABF4154"/>
    <w:rsid w:val="4B4134FD"/>
    <w:rsid w:val="4B543446"/>
    <w:rsid w:val="4E4364C2"/>
    <w:rsid w:val="50EA418D"/>
    <w:rsid w:val="510C0237"/>
    <w:rsid w:val="521E7BC5"/>
    <w:rsid w:val="52793D86"/>
    <w:rsid w:val="536C7C6B"/>
    <w:rsid w:val="53A662DF"/>
    <w:rsid w:val="53AD3873"/>
    <w:rsid w:val="53CF538E"/>
    <w:rsid w:val="557B2A48"/>
    <w:rsid w:val="55DB0099"/>
    <w:rsid w:val="57F01B04"/>
    <w:rsid w:val="596C1A28"/>
    <w:rsid w:val="59E7637A"/>
    <w:rsid w:val="59EE1099"/>
    <w:rsid w:val="5CF95551"/>
    <w:rsid w:val="5D9615A2"/>
    <w:rsid w:val="61863437"/>
    <w:rsid w:val="61E21505"/>
    <w:rsid w:val="624D40D3"/>
    <w:rsid w:val="62E354DE"/>
    <w:rsid w:val="632528C9"/>
    <w:rsid w:val="642D34F2"/>
    <w:rsid w:val="64592EAE"/>
    <w:rsid w:val="65326415"/>
    <w:rsid w:val="65605C5F"/>
    <w:rsid w:val="65AE7F5D"/>
    <w:rsid w:val="65FB0E53"/>
    <w:rsid w:val="66452A5A"/>
    <w:rsid w:val="66C33328"/>
    <w:rsid w:val="678149E0"/>
    <w:rsid w:val="68BE0B64"/>
    <w:rsid w:val="68D47E6F"/>
    <w:rsid w:val="692244D0"/>
    <w:rsid w:val="6968585F"/>
    <w:rsid w:val="6A19339F"/>
    <w:rsid w:val="6BCE176C"/>
    <w:rsid w:val="6D07449C"/>
    <w:rsid w:val="6D8365BD"/>
    <w:rsid w:val="6E2A4350"/>
    <w:rsid w:val="6E3E1339"/>
    <w:rsid w:val="6E6D657F"/>
    <w:rsid w:val="6EC32276"/>
    <w:rsid w:val="6F0F1346"/>
    <w:rsid w:val="6F57027E"/>
    <w:rsid w:val="6F7810F5"/>
    <w:rsid w:val="71313AC1"/>
    <w:rsid w:val="72DB7A02"/>
    <w:rsid w:val="72DE08AE"/>
    <w:rsid w:val="72EE6ECA"/>
    <w:rsid w:val="73A51C06"/>
    <w:rsid w:val="752B4467"/>
    <w:rsid w:val="772054B7"/>
    <w:rsid w:val="77B64349"/>
    <w:rsid w:val="78404F59"/>
    <w:rsid w:val="78D0113A"/>
    <w:rsid w:val="79120DC0"/>
    <w:rsid w:val="7B086666"/>
    <w:rsid w:val="7B870239"/>
    <w:rsid w:val="7C007CD6"/>
    <w:rsid w:val="7C6C3669"/>
    <w:rsid w:val="7CFB2380"/>
    <w:rsid w:val="7DC1685E"/>
    <w:rsid w:val="7E4839B7"/>
    <w:rsid w:val="7E9D64A0"/>
    <w:rsid w:val="7F726CC2"/>
    <w:rsid w:val="7FC73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2937</Words>
  <Characters>3341</Characters>
  <Lines>0</Lines>
  <Paragraphs>0</Paragraphs>
  <TotalTime>2</TotalTime>
  <ScaleCrop>false</ScaleCrop>
  <LinksUpToDate>false</LinksUpToDate>
  <CharactersWithSpaces>3389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2021-09-23T01:41:00Z</dcterms:created>
  <dc:creator>A</dc:creator>
  <cp:keywords>CPCA, PCB, 每周资讯, 第141期</cp:keywords>
  <cp:lastModifiedBy>朕已阅</cp:lastModifiedBy>
  <cp:lastPrinted>2021-09-23T03:57:00Z</cp:lastPrinted>
  <dcterms:modified xsi:type="dcterms:W3CDTF">2026-07-16T07:06:27Z</dcterms:modified>
  <dc:subject>CPCA141期每周资讯热点报告</dc:subject>
  <dc:title>CPCA每周资讯第141期</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eyJoZGlkIjoiZWFlNjQ3NDIwZDEwN2RkZjI5ZmVhOGI2NjVlYTBkMTciLCJ1c2VySWQiOiIxMzgyMTM1ODU2In0=</vt:lpwstr>
  </property>
  <property fmtid="{D5CDD505-2E9C-101B-9397-08002B2CF9AE}" pid="3" name="KSOProductBuildVer">
    <vt:lpwstr>2052-12.1.0.26895</vt:lpwstr>
  </property>
  <property fmtid="{D5CDD505-2E9C-101B-9397-08002B2CF9AE}" pid="4" name="ICV">
    <vt:lpwstr>475234387207408695256EAD167E8E62_13</vt:lpwstr>
  </property>
</Properties>
</file>