
<file path=[Content_Types].xml><?xml version="1.0" encoding="utf-8"?>
<Types xmlns="http://schemas.openxmlformats.org/package/2006/content-types">
  <Default Extension="wmf" ContentType="image/x-w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E361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baseline"/>
        <w:rPr>
          <w:rFonts w:hint="default" w:ascii="华文楷体" w:hAnsi="华文楷体" w:eastAsia="华文楷体" w:cs="华文楷体"/>
          <w:b/>
          <w:bCs/>
          <w:snapToGrid w:val="0"/>
          <w:color w:val="548235" w:themeColor="accent6" w:themeShade="BF"/>
          <w:kern w:val="0"/>
          <w:sz w:val="28"/>
          <w:szCs w:val="28"/>
          <w:lang w:val="en-US" w:eastAsia="zh-CN" w:bidi="ar"/>
        </w:rPr>
      </w:pPr>
    </w:p>
    <w:p w14:paraId="287E5B2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仿宋" w:cs="Times New Roman"/>
          <w:color w:val="04AC5C"/>
          <w:sz w:val="32"/>
          <w:szCs w:val="24"/>
          <w:lang w:val="en-US"/>
        </w:rPr>
      </w:pPr>
      <w:r>
        <w:rPr>
          <w:rFonts w:hint="eastAsia" w:ascii="华文楷体" w:hAnsi="华文楷体" w:eastAsia="华文楷体" w:cs="华文楷体"/>
          <w:b/>
          <w:bCs/>
          <w:snapToGrid w:val="0"/>
          <w:color w:val="04AC5C"/>
          <w:kern w:val="0"/>
          <w:sz w:val="28"/>
          <w:szCs w:val="28"/>
          <w:lang w:val="en-US" w:eastAsia="zh-CN" w:bidi="ar"/>
        </w:rPr>
        <w:t>第142期</w:t>
      </w:r>
    </w:p>
    <w:p w14:paraId="62D56D6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baseline"/>
        <w:rPr>
          <w:rFonts w:hint="default" w:ascii="Arial" w:hAnsi="Times New Roman" w:eastAsia="仿宋" w:cs="Times New Roman"/>
          <w:color w:val="04AC5C"/>
          <w:sz w:val="21"/>
          <w:szCs w:val="24"/>
          <w:lang w:val="en-US"/>
        </w:rPr>
      </w:pPr>
      <w:r>
        <w:rPr>
          <w:rFonts w:ascii="华文楷体" w:hAnsi="华文楷体" w:eastAsia="华文楷体" w:cs="华文楷体"/>
          <w:b/>
          <w:bCs/>
          <w:snapToGrid w:val="0"/>
          <w:color w:val="04AC5C"/>
          <w:kern w:val="0"/>
          <w:sz w:val="28"/>
          <w:szCs w:val="28"/>
          <w:u w:val="single" w:color="auto"/>
          <w:lang w:val="en-US" w:eastAsia="zh-CN" w:bidi="ar"/>
        </w:rPr>
        <w:t>信息部                                            2026年7月</w:t>
      </w:r>
    </w:p>
    <w:p w14:paraId="59B0599D">
      <w:pPr>
        <w:keepNext/>
        <w:keepLines/>
        <w:widowControl w:val="0"/>
        <w:numPr>
          <w:ilvl w:val="0"/>
          <w:numId w:val="0"/>
        </w:numPr>
        <w:bidi w:val="0"/>
        <w:spacing w:before="260" w:beforeLines="0" w:beforeAutospacing="0" w:after="260" w:afterLines="0" w:afterAutospacing="0" w:line="413" w:lineRule="auto"/>
        <w:jc w:val="left"/>
        <w:outlineLvl w:val="1"/>
        <w:rPr>
          <w:rFonts w:hint="default"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每周资讯|央行启用隔夜逆回购并开展万亿元买断式逆回购；国务院常务会议部署AI建设；礼鼎半导体向港交所提交上市申请..</w:t>
      </w:r>
    </w:p>
    <w:p w14:paraId="03F497D5">
      <w:pPr>
        <w:keepNext/>
        <w:keepLines/>
        <w:widowControl w:val="0"/>
        <w:numPr>
          <w:ilvl w:val="0"/>
          <w:numId w:val="1"/>
        </w:numPr>
        <w:bidi w:val="0"/>
        <w:spacing w:before="260" w:beforeLines="0" w:beforeAutospacing="0" w:after="260" w:afterLines="0" w:afterAutospacing="0" w:line="413" w:lineRule="auto"/>
        <w:jc w:val="left"/>
        <w:outlineLvl w:val="1"/>
        <w:rPr>
          <w:rFonts w:hint="eastAsia" w:ascii="Times New Roman" w:hAnsi="Times New Roman" w:eastAsia="仿宋" w:cs="Times New Roman"/>
          <w:sz w:val="32"/>
          <w:szCs w:val="24"/>
          <w:highlight w:val="none"/>
          <w:lang w:val="en-US" w:eastAsia="zh-CN"/>
        </w:rPr>
      </w:pPr>
      <w:r>
        <w:rPr>
          <w:rFonts w:hint="eastAsia" w:ascii="Arial" w:hAnsi="Arial" w:eastAsia="黑体" w:cs="Times New Roman"/>
          <w:b/>
          <w:kern w:val="2"/>
          <w:sz w:val="32"/>
          <w:szCs w:val="24"/>
          <w:lang w:val="en-US" w:eastAsia="zh-CN" w:bidi="ar-SA"/>
        </w:rPr>
        <w:t>行业</w:t>
      </w:r>
    </w:p>
    <w:p w14:paraId="39787E5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Arial" w:hAnsi="Arial" w:eastAsia="黑体" w:cs="Times New Roman"/>
          <w:b/>
          <w:kern w:val="2"/>
          <w:sz w:val="32"/>
          <w:szCs w:val="24"/>
          <w:lang w:val="en-US" w:eastAsia="zh-CN" w:bidi="ar-SA"/>
        </w:rPr>
      </w:pPr>
      <w:r>
        <w:rPr>
          <w:rFonts w:hint="eastAsia" w:ascii="Arial" w:hAnsi="Arial" w:eastAsia="黑体" w:cs="Times New Roman"/>
          <w:b/>
          <w:kern w:val="2"/>
          <w:sz w:val="32"/>
          <w:szCs w:val="24"/>
          <w:lang w:val="en-US" w:eastAsia="zh-CN" w:bidi="ar-SA"/>
        </w:rPr>
        <w:t>央行新增隔夜逆回购并开展万亿元买断式逆回购，保持流动性合理充裕</w:t>
      </w:r>
    </w:p>
    <w:p w14:paraId="1E95CF83">
      <w:pPr>
        <w:spacing w:line="360" w:lineRule="auto"/>
        <w:ind w:firstLine="640" w:firstLineChars="200"/>
        <w:jc w:val="left"/>
        <w:rPr>
          <w:rFonts w:hint="eastAsia" w:ascii="Times New Roman" w:hAnsi="Times New Roman" w:eastAsia="仿宋" w:cs="Times New Roman"/>
          <w:sz w:val="32"/>
          <w:szCs w:val="24"/>
          <w:lang w:val="en-US" w:eastAsia="zh-CN"/>
        </w:rPr>
      </w:pPr>
      <w:r>
        <w:rPr>
          <w:rFonts w:hint="eastAsia" w:ascii="Times New Roman" w:hAnsi="Times New Roman" w:eastAsia="仿宋" w:cs="Times New Roman"/>
          <w:sz w:val="32"/>
          <w:szCs w:val="24"/>
          <w:lang w:val="en-US" w:eastAsia="zh-CN"/>
        </w:rPr>
        <w:t>6月29日，中国人民银行首次在公开市场操作中启用隔夜逆回购操作品种，当日开展3000亿元隔夜逆回购和1575亿元7天期逆回购；6月30日，央行继续开展6000亿元隔夜逆回购和695亿元7天期逆回购，进一步丰富短端流动性管理工具。7月6日，央行开展1万亿元3个月期买断式逆回购操作，在该期限品种当月有8000亿元到期背景下实现加量续作，结束此前连续3个月缩量进程。业内人士认为，隔夜逆回购与买断式逆回购配合使用，有助于精准平抑跨季及政府债发行带来的资金波动，维持市场流动性合理充裕，对电子信息制造、高端扩产及先进制造投资形成稳定金融环境。（中国人民银行）</w:t>
      </w:r>
    </w:p>
    <w:p w14:paraId="3A30106E">
      <w:pPr>
        <w:spacing w:line="360" w:lineRule="auto"/>
        <w:jc w:val="left"/>
        <w:rPr>
          <w:rFonts w:hint="eastAsia" w:ascii="Times New Roman" w:hAnsi="Times New Roman" w:eastAsia="仿宋" w:cs="Times New Roman"/>
          <w:sz w:val="32"/>
          <w:szCs w:val="24"/>
          <w:lang w:val="en-US" w:eastAsia="zh-CN"/>
        </w:rPr>
      </w:pPr>
    </w:p>
    <w:p w14:paraId="0EB30927">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Arial" w:hAnsi="Arial" w:eastAsia="黑体" w:cs="Times New Roman"/>
          <w:b/>
          <w:kern w:val="2"/>
          <w:sz w:val="32"/>
          <w:szCs w:val="24"/>
          <w:lang w:val="en-US" w:eastAsia="zh-CN" w:bidi="ar-SA"/>
        </w:rPr>
      </w:pPr>
      <w:r>
        <w:rPr>
          <w:rFonts w:hint="eastAsia" w:ascii="Arial" w:hAnsi="Arial" w:eastAsia="黑体" w:cs="Times New Roman"/>
          <w:b/>
          <w:kern w:val="2"/>
          <w:sz w:val="32"/>
          <w:szCs w:val="24"/>
          <w:lang w:val="en-US" w:eastAsia="zh-CN" w:bidi="ar-SA"/>
        </w:rPr>
        <w:t>国务院常务会议部署人工智能发展，加快超大规模智算集群建设</w:t>
      </w:r>
    </w:p>
    <w:p w14:paraId="07841AAF">
      <w:pPr>
        <w:spacing w:line="360" w:lineRule="auto"/>
        <w:ind w:firstLine="640" w:firstLineChars="200"/>
        <w:jc w:val="left"/>
        <w:rPr>
          <w:rFonts w:hint="eastAsia" w:ascii="Times New Roman" w:hAnsi="Times New Roman" w:eastAsia="仿宋" w:cs="Times New Roman"/>
          <w:sz w:val="32"/>
          <w:szCs w:val="24"/>
          <w:lang w:val="en-US" w:eastAsia="zh-CN"/>
        </w:rPr>
      </w:pPr>
      <w:r>
        <w:rPr>
          <w:rFonts w:hint="eastAsia" w:ascii="Times New Roman" w:hAnsi="Times New Roman" w:eastAsia="仿宋" w:cs="Times New Roman"/>
          <w:sz w:val="32"/>
          <w:szCs w:val="24"/>
          <w:lang w:val="en-US" w:eastAsia="zh-CN"/>
        </w:rPr>
        <w:t>6月29日，国务院总理李强主持召开国务院常务会议，听取人工智能发展情况汇报，研究当前外贸形势和贸易强国建设有关工作，并审议通过《“十五五”碳达峰行动方案》等文件。会议指出，要深刻把握人工智能演进趋势，完善支持政策和治理体系，加力推进人工智能创新突破，加快关键技术攻关和超大规模智算集群建设，强化高质量数据供给，加强人才、资金等要素保障，支持企业开展基础研究和前沿探索。会议要求深入实施“人工智能+”行动，发挥我国产业体系完备、应用场景丰富等优势，促进智能产品和服务加快规模化商业应用。智算集群与AI终端加速落地将持续拉动AI服务器、交换机、光模块及配套高端PCB、IC载板和高速覆铜板需求。（新华社）</w:t>
      </w:r>
    </w:p>
    <w:p w14:paraId="445F0B5B">
      <w:pPr>
        <w:spacing w:line="360" w:lineRule="auto"/>
        <w:ind w:firstLine="640" w:firstLineChars="200"/>
        <w:jc w:val="left"/>
        <w:rPr>
          <w:rFonts w:hint="eastAsia" w:ascii="Times New Roman" w:hAnsi="Times New Roman" w:eastAsia="仿宋" w:cs="Times New Roman"/>
          <w:sz w:val="32"/>
          <w:szCs w:val="24"/>
          <w:lang w:val="en-US" w:eastAsia="zh-CN"/>
        </w:rPr>
      </w:pPr>
    </w:p>
    <w:p w14:paraId="24BC51B9">
      <w:pPr>
        <w:spacing w:line="240" w:lineRule="auto"/>
        <w:ind w:left="0" w:leftChars="0" w:firstLine="0" w:firstLineChars="0"/>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工信部：前5个月规模以上电子信息制造业增加值同比增长14.6%</w:t>
      </w:r>
    </w:p>
    <w:p w14:paraId="43D5ECBE">
      <w:pPr>
        <w:spacing w:line="240" w:lineRule="auto"/>
        <w:ind w:left="0" w:leftChars="0"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5日，人民日报海外版援引工业和信息化部数据报道，2026年前5个月，我国规模以上电子信息制造业增加值同比增长14.6%，增速分别比同期工业、高技术制造业高9.2和1.5个百分点。主要产品中，智能手机产量4.77亿台，同比增长3.3%；集成电路产量2286亿块，同比增长25.4%。1—5月，规模以上电子信息制造业累计实现出口交货值同比增长6.1%，其中5月出口交货值同比增长9.9%；前5个月行业实现营业收入7.52万亿元，同比增长17.1%，实现利润总额4220亿元，同比增长1.04倍；固定资产投资同比增长6.7%，较1—4月提高1.3个百分点。电子信息制造业生产、出口、效益和投资同步改善，为PCB、电子材料和设备环节提供需求支撑。（工信部）</w:t>
      </w:r>
    </w:p>
    <w:p w14:paraId="699A251B">
      <w:pPr>
        <w:spacing w:line="360" w:lineRule="auto"/>
        <w:ind w:firstLine="640" w:firstLineChars="200"/>
        <w:jc w:val="left"/>
        <w:rPr>
          <w:rFonts w:hint="eastAsia" w:ascii="Times New Roman" w:hAnsi="Times New Roman" w:eastAsia="仿宋" w:cs="Times New Roman"/>
          <w:sz w:val="32"/>
          <w:szCs w:val="24"/>
          <w:lang w:val="en-US" w:eastAsia="zh-CN"/>
        </w:rPr>
      </w:pPr>
    </w:p>
    <w:p w14:paraId="156C9588">
      <w:pPr>
        <w:keepNext/>
        <w:keepLines/>
        <w:widowControl w:val="0"/>
        <w:numPr>
          <w:ilvl w:val="0"/>
          <w:numId w:val="1"/>
        </w:numPr>
        <w:bidi w:val="0"/>
        <w:spacing w:before="260" w:beforeLines="0" w:beforeAutospacing="0" w:after="260" w:afterLines="0" w:afterAutospacing="0" w:line="413" w:lineRule="auto"/>
        <w:ind w:left="0" w:leftChars="0" w:firstLine="0" w:firstLineChars="0"/>
        <w:jc w:val="left"/>
        <w:outlineLvl w:val="1"/>
        <w:rPr>
          <w:rFonts w:hint="eastAsia" w:ascii="Arial" w:hAnsi="Arial" w:eastAsia="黑体" w:cs="Times New Roman"/>
          <w:b/>
          <w:kern w:val="2"/>
          <w:sz w:val="32"/>
          <w:szCs w:val="24"/>
          <w:lang w:val="en-US" w:eastAsia="zh-CN" w:bidi="ar-SA"/>
        </w:rPr>
      </w:pPr>
      <w:r>
        <w:rPr>
          <w:rFonts w:hint="eastAsia" w:ascii="Arial" w:hAnsi="Arial" w:eastAsia="黑体" w:cs="Times New Roman"/>
          <w:b/>
          <w:kern w:val="2"/>
          <w:sz w:val="32"/>
          <w:szCs w:val="24"/>
          <w:lang w:val="en-US" w:eastAsia="zh-CN" w:bidi="ar-SA"/>
        </w:rPr>
        <w:t>市场</w:t>
      </w:r>
    </w:p>
    <w:p w14:paraId="2C521472">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2026年1至5月份我国机器人规上企业营业收入突破900亿元，同比增长26.9%</w:t>
      </w:r>
    </w:p>
    <w:p w14:paraId="43A9EA19">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6日，2026世界机器人大会新闻发布会召开。工信部装备工业一司副司长郝立顺介绍，今年1至5月，我国机器人规模以上企业营业收入突破900亿元，同比增长26.9%，近五年年均增速超20%，较“十三五”时期年均增速提升约5个百分点。当前，人形机器人逐步从展示性演示转向实用性落地，产业商业化进程持续提速。（证券之星）</w:t>
      </w:r>
    </w:p>
    <w:p w14:paraId="1BA827A9">
      <w:pPr>
        <w:spacing w:line="240" w:lineRule="auto"/>
        <w:ind w:left="0" w:leftChars="0" w:firstLine="640" w:firstLineChars="200"/>
        <w:jc w:val="left"/>
        <w:rPr>
          <w:rFonts w:hint="default" w:ascii="Times New Roman" w:hAnsi="Times New Roman" w:eastAsia="仿宋" w:cs="Times New Roman"/>
          <w:sz w:val="32"/>
          <w:szCs w:val="24"/>
          <w:highlight w:val="none"/>
          <w:lang w:val="en-US" w:eastAsia="zh-CN"/>
        </w:rPr>
      </w:pPr>
    </w:p>
    <w:p w14:paraId="2644C559">
      <w:pPr>
        <w:spacing w:line="240" w:lineRule="auto"/>
        <w:ind w:left="0" w:leftChars="0" w:firstLine="0" w:firstLineChars="0"/>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6月新能源车企交付数据放榜，头部品牌与海外市场成为增长主线</w:t>
      </w:r>
    </w:p>
    <w:p w14:paraId="16D8ABEC">
      <w:pPr>
        <w:spacing w:line="240" w:lineRule="auto"/>
        <w:ind w:left="0" w:leftChars="0"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1日，多家新能源汽车企业陆续公布6月交付或销量数据。比亚迪6月新能源汽车销量403472辆，同比增长5.46%，其中海外销售新能源汽车175349辆，创历史单月新高；零跑汽车6月全球交付93376台，同比增长95%，再创月度新高，上半年累计交付356487台；蔚来6月交付40597台，同比增长62.9%；小鹏汽车6月交付40126辆，二季度累计交付103295辆；鸿蒙智行6月交付50624辆。机构认为，新能源汽车市场在渗透率高位背景下进入结构性分化阶段，海外扩张、智能座舱、域控制器、车载显示和高压电控将继续带动车载PCB、厚铜板、HDI及柔性线路板需求。（界面新闻）</w:t>
      </w:r>
    </w:p>
    <w:p w14:paraId="4E914E51">
      <w:pPr>
        <w:spacing w:line="240" w:lineRule="auto"/>
        <w:ind w:left="0" w:leftChars="0" w:firstLine="640" w:firstLineChars="200"/>
        <w:jc w:val="left"/>
        <w:rPr>
          <w:rFonts w:hint="eastAsia" w:ascii="Times New Roman" w:hAnsi="Times New Roman" w:eastAsia="仿宋" w:cs="Times New Roman"/>
          <w:sz w:val="32"/>
          <w:szCs w:val="24"/>
          <w:highlight w:val="none"/>
          <w:lang w:val="en-US" w:eastAsia="zh-CN"/>
        </w:rPr>
      </w:pPr>
    </w:p>
    <w:p w14:paraId="5AD92B3D">
      <w:pPr>
        <w:spacing w:line="360" w:lineRule="auto"/>
        <w:ind w:firstLine="643" w:firstLineChars="200"/>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优必选消费级人形机器人订单破万，机器人终端从示范走向商业化</w:t>
      </w:r>
    </w:p>
    <w:p w14:paraId="4804EA49">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7月1日，据科创板日报等报道，优必选在2026年度全球发布会上推出消费级人形机器人品牌“优世界”及U1系列产品，U1 Lite、U1 Pro和U1 Ultra覆盖11.98万元至99万元价格带，线上线下订单已突破1.3万台，并计划于9月16日开启交付。优必选方面表示，U1系列全渠道订单量已达13361台，订单规模为公司2025年全年B端人形机器人总销量的十倍。与此同时，摩根士丹利此前将2026年中国人形机器人出货量预测上调至5万台。人形机器人从工业示范向家庭陪伴、商业服务等场景扩展，将拉动关节模组控制板、传感器、柔性电路、摄像头模组及高可靠连接器用PCB需求。（科创板日报）</w:t>
      </w:r>
    </w:p>
    <w:p w14:paraId="511F491A">
      <w:pPr>
        <w:spacing w:line="240" w:lineRule="auto"/>
        <w:ind w:left="0" w:leftChars="0" w:firstLine="640" w:firstLineChars="200"/>
        <w:jc w:val="left"/>
        <w:rPr>
          <w:rFonts w:hint="eastAsia" w:ascii="Times New Roman" w:hAnsi="Times New Roman" w:eastAsia="仿宋" w:cs="Times New Roman"/>
          <w:sz w:val="32"/>
          <w:szCs w:val="24"/>
          <w:highlight w:val="none"/>
          <w:lang w:val="en-US" w:eastAsia="zh-CN"/>
        </w:rPr>
      </w:pPr>
    </w:p>
    <w:p w14:paraId="4D02DBEA">
      <w:pPr>
        <w:keepNext/>
        <w:keepLines/>
        <w:widowControl w:val="0"/>
        <w:numPr>
          <w:ilvl w:val="0"/>
          <w:numId w:val="1"/>
        </w:numPr>
        <w:bidi w:val="0"/>
        <w:spacing w:before="260" w:beforeLines="0" w:beforeAutospacing="0" w:after="260" w:afterLines="0" w:afterAutospacing="0" w:line="413" w:lineRule="auto"/>
        <w:ind w:left="0" w:leftChars="0" w:firstLine="0" w:firstLineChars="0"/>
        <w:jc w:val="left"/>
        <w:outlineLvl w:val="1"/>
        <w:rPr>
          <w:rFonts w:hint="eastAsia" w:ascii="Arial" w:hAnsi="Arial" w:eastAsia="黑体" w:cs="Times New Roman"/>
          <w:b/>
          <w:kern w:val="2"/>
          <w:sz w:val="32"/>
          <w:szCs w:val="24"/>
          <w:lang w:val="en-US" w:eastAsia="zh-CN" w:bidi="ar-SA"/>
        </w:rPr>
      </w:pPr>
      <w:r>
        <w:rPr>
          <w:rFonts w:hint="eastAsia" w:ascii="Arial" w:hAnsi="Arial" w:eastAsia="黑体" w:cs="Times New Roman"/>
          <w:b/>
          <w:kern w:val="2"/>
          <w:sz w:val="32"/>
          <w:szCs w:val="24"/>
          <w:lang w:val="en-US" w:eastAsia="zh-CN" w:bidi="ar-SA"/>
        </w:rPr>
        <w:t>企业</w:t>
      </w:r>
    </w:p>
    <w:p w14:paraId="5213A509">
      <w:pPr>
        <w:spacing w:line="360" w:lineRule="auto"/>
        <w:jc w:val="center"/>
        <w:rPr>
          <w:rFonts w:hint="default"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礼鼎半导体向港交所提交上市申请，拟登陆香港主板</w:t>
      </w:r>
    </w:p>
    <w:p w14:paraId="2745B72E">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2日，港交所官网显示，礼鼎半导体科技（深圳）股份有限公司向港交所主板提交上市申请，中信证券担任独家保荐人。招股书显示，礼鼎半导体是一家以智能制造赋能的IC载板供应商，专注于FCBGA、FCCSP、WBCSP及模组载板的研发、制造及销售；按2025年收入计，公司在中国内地IC载板制造商中排名第三，在FCBGA及FCCSP载板的中国内地制造商中亦排名第三。公司IC载板应用覆盖智能装置、AI及HPC、存储、汽车及机器人、网络通信等领域。上市前，臻鼎通过全资主体及鹏鼎控股合计持股60.75%，为控股股东。此次递表显示高端IC载板企业继续借助资本市场推进AI和HPC相关产能与技术升级。（同花顺财经）</w:t>
      </w:r>
    </w:p>
    <w:p w14:paraId="2506E90D">
      <w:pPr>
        <w:keepNext/>
        <w:keepLines/>
        <w:widowControl w:val="0"/>
        <w:numPr>
          <w:ilvl w:val="0"/>
          <w:numId w:val="0"/>
        </w:numPr>
        <w:bidi w:val="0"/>
        <w:spacing w:before="260" w:beforeLines="0" w:beforeAutospacing="0" w:after="260" w:afterLines="0" w:afterAutospacing="0" w:line="413" w:lineRule="auto"/>
        <w:ind w:leftChars="0"/>
        <w:jc w:val="left"/>
        <w:outlineLvl w:val="1"/>
        <w:rPr>
          <w:rFonts w:hint="eastAsia" w:ascii="Arial" w:hAnsi="Arial" w:eastAsia="黑体" w:cs="Times New Roman"/>
          <w:b/>
          <w:kern w:val="2"/>
          <w:sz w:val="32"/>
          <w:szCs w:val="24"/>
          <w:lang w:val="en-US" w:eastAsia="zh-CN" w:bidi="ar-SA"/>
        </w:rPr>
      </w:pPr>
    </w:p>
    <w:p w14:paraId="7BBFDE17">
      <w:pPr>
        <w:spacing w:line="360" w:lineRule="auto"/>
        <w:jc w:val="center"/>
        <w:rPr>
          <w:rFonts w:hint="default"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德福科技拟定增募资不超过28亿元投建AI高端电子电路铜箔项目</w:t>
      </w:r>
    </w:p>
    <w:p w14:paraId="03F24179">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6日，德福科技发布公告称，公司拟向特定对象发行A股股票，募集资金总额不超过28亿元，扣除发行费用后用于“5万吨人工智能高端电子电路AI铜箔项目”及补充流动资金。其中，AI铜箔项目投资总额22.5亿元，拟投入募集资金19.8亿元，由全资子公司琥珀新材实施，达产后将实现年产5万吨高端电子电路铜箔产能。公告显示，项目产品包括FPC用铜箔、RTF、HVLP、载体铜箔等，主要应用于AI服务器、高速交换机、光模块等领域。本次发行尚需经公司股东会审议通过、深交所审核通过及中国证监会同意注册。AI算力相关PCB向低损耗、高速化升级，正在带动HVLP等高端电子铜箔需求扩容。（证券时报）</w:t>
      </w:r>
    </w:p>
    <w:p w14:paraId="62A5C3F7">
      <w:pPr>
        <w:spacing w:line="360" w:lineRule="auto"/>
        <w:jc w:val="left"/>
        <w:rPr>
          <w:rFonts w:hint="eastAsia" w:ascii="Times New Roman" w:hAnsi="Times New Roman" w:eastAsia="仿宋" w:cs="Times New Roman"/>
          <w:sz w:val="32"/>
          <w:szCs w:val="24"/>
          <w:highlight w:val="none"/>
          <w:lang w:val="en-US" w:eastAsia="zh-CN"/>
        </w:rPr>
      </w:pPr>
    </w:p>
    <w:p w14:paraId="3D7A82BE">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南亚新材拟7.9亿元投建年产1400万平方米高端覆铜板项目</w:t>
      </w:r>
    </w:p>
    <w:p w14:paraId="4C8F5A4E">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6月29日晚间，南亚新材发布公告称，公司全资子公司南亚新材料科技（江西）有限公司拟在江西吉安投资建设年产1400万平方米高端覆铜板研发及产业化项目，项目总投资约7.9亿元，建设周期预计2年。公告显示，项目产品主要面向服务器、汽车安全部件及智能驾驶、AI手机及高端智能终端、智能穿戴等领域，包括中高阶高速材料、高阶HDI材料及中高TG材料等。公司表示，本次项目与此前定增募投项目形成高低搭配、品类互补的协同布局，建成后有助于补齐高端产品产能短板，推动自研新工艺、新产品规模化量产。（新浪财经）</w:t>
      </w:r>
    </w:p>
    <w:p w14:paraId="68B21210">
      <w:pPr>
        <w:spacing w:line="360" w:lineRule="auto"/>
        <w:jc w:val="left"/>
        <w:rPr>
          <w:rFonts w:hint="eastAsia" w:ascii="Times New Roman" w:hAnsi="Times New Roman" w:eastAsia="仿宋" w:cs="Times New Roman"/>
          <w:sz w:val="32"/>
          <w:szCs w:val="24"/>
          <w:highlight w:val="none"/>
          <w:lang w:val="en-US" w:eastAsia="zh-CN"/>
        </w:rPr>
      </w:pPr>
    </w:p>
    <w:p w14:paraId="7CF2C053">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鹏鼎控股拟向台湾及泰国子公司增资约19亿元，加码高端PCB产能</w:t>
      </w:r>
    </w:p>
    <w:p w14:paraId="1961B372">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6月30日，鹏鼎控股连发两份增资公告，拟通过全资平台鹏鼎国际分别向中国台湾子公司鹏鼎科技及泰国生产平台泰国鹏鼎实施增资，折合人民币合计约19亿元。公告显示，鹏鼎科技增资资金主要用于日常经营周转，泰国鹏鼎增资资金将用于厂房建设、设备采购与高阶PCB产能落地。泰国鹏鼎为公司东南亚核心制造基地，2023年9月落地，仍处于投产培育期；本次增资完成后，公司将进一步完善中国台湾运营中枢和东南亚高端制造基地布局，匹配AI服务器、高阶HDI、SLP等高端电路板长期需求。（21财经）</w:t>
      </w:r>
    </w:p>
    <w:p w14:paraId="161761F8">
      <w:pPr>
        <w:spacing w:line="360" w:lineRule="auto"/>
        <w:ind w:firstLine="640" w:firstLineChars="200"/>
        <w:jc w:val="left"/>
        <w:rPr>
          <w:rFonts w:hint="eastAsia" w:ascii="Times New Roman" w:hAnsi="Times New Roman" w:eastAsia="仿宋" w:cs="Times New Roman"/>
          <w:sz w:val="32"/>
          <w:szCs w:val="24"/>
          <w:highlight w:val="none"/>
          <w:lang w:val="en-US" w:eastAsia="zh-CN"/>
        </w:rPr>
      </w:pPr>
    </w:p>
    <w:p w14:paraId="01CB4597">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沪电股份43亿元AI高端PCB项目预计下半年试产</w:t>
      </w:r>
    </w:p>
    <w:p w14:paraId="2CE32163">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6月29日，沪电股份发布投资者关系活动记录表，披露公司2024年第四季度规划投资约43亿元的新建人工智能芯片配套高端印制电路板扩产项目正有序推进，预期将在2026年下半年开始试产并逐步提升产能。公司表示，该项目将进一步扩大高端产品产能，更好满足高速运算服务器、人工智能等新兴计算场景对高端印制电路板的中长期需求。同期，公司于6月完成昆山普江仓储设施有限公司100%股权收购，拟将相关厂房用于产能扩建，以快速补充生产载体、缩短产能落地周期。针对高端材料供应瓶颈，公司已提前参与新一代高端基材电性能验证和可靠性测试，并推进关键物料战略安全库存与多元化认证。（沪电股份公司公告）</w:t>
      </w:r>
    </w:p>
    <w:p w14:paraId="1CBF58D8">
      <w:pPr>
        <w:spacing w:line="360" w:lineRule="auto"/>
        <w:ind w:firstLine="640" w:firstLineChars="200"/>
        <w:jc w:val="left"/>
        <w:rPr>
          <w:rFonts w:hint="eastAsia" w:ascii="Times New Roman" w:hAnsi="Times New Roman" w:eastAsia="仿宋" w:cs="Times New Roman"/>
          <w:sz w:val="32"/>
          <w:szCs w:val="24"/>
          <w:highlight w:val="none"/>
          <w:lang w:val="en-US" w:eastAsia="zh-CN"/>
        </w:rPr>
      </w:pPr>
    </w:p>
    <w:p w14:paraId="7E5D4754">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四方达拟定增募资20亿元投建金刚石钻针产业化项目</w:t>
      </w:r>
    </w:p>
    <w:p w14:paraId="5782AC31">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6月30日晚间，四方达发布2026年度向特定对象发行A股股票预案，拟募集资金总额不超过20亿元，扣除发行费用后用于金刚石钻针产业化项目和补充流动资金。公告显示，金刚石钻针是PCB、半导体封装基板等微孔加工环节的关键耗材，主要应用于高端PCB、IC载板、精密电子器件等领域。行业媒体指出，AI服务器、半导体、智能驾驶等高成长赛道正拉动高端PCB及封装基板微孔加工需求，钻针国产化和高端化有望成为上游耗材的重要扩产方向。（证券时报）</w:t>
      </w:r>
    </w:p>
    <w:p w14:paraId="407368CE">
      <w:pPr>
        <w:spacing w:line="360" w:lineRule="auto"/>
        <w:ind w:firstLine="640" w:firstLineChars="200"/>
        <w:jc w:val="left"/>
        <w:rPr>
          <w:rFonts w:hint="eastAsia" w:ascii="Times New Roman" w:hAnsi="Times New Roman" w:eastAsia="仿宋" w:cs="Times New Roman"/>
          <w:sz w:val="32"/>
          <w:szCs w:val="24"/>
          <w:highlight w:val="none"/>
          <w:lang w:val="en-US" w:eastAsia="zh-CN"/>
        </w:rPr>
      </w:pPr>
    </w:p>
    <w:p w14:paraId="4F961920">
      <w:pPr>
        <w:spacing w:line="360" w:lineRule="auto"/>
        <w:jc w:val="right"/>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更多精彩内容请扫描下方二维码，关注CPCA服务号</w:t>
      </w:r>
    </w:p>
    <w:p w14:paraId="34918E87">
      <w:pPr>
        <w:spacing w:line="360" w:lineRule="auto"/>
        <w:ind w:firstLine="640" w:firstLineChars="200"/>
        <w:jc w:val="right"/>
        <w:rPr>
          <w:rFonts w:hint="eastAsia" w:ascii="华文仿宋" w:hAnsi="华文仿宋" w:eastAsia="华文仿宋" w:cs="华文仿宋"/>
          <w:color w:val="000000"/>
          <w:kern w:val="0"/>
          <w:sz w:val="28"/>
          <w:szCs w:val="28"/>
          <w:lang w:val="en-US" w:eastAsia="zh-CN" w:bidi="ar"/>
        </w:rPr>
      </w:pPr>
      <w:r>
        <w:rPr>
          <w:rFonts w:hint="eastAsia" w:ascii="Times New Roman" w:hAnsi="Times New Roman" w:eastAsia="仿宋" w:cs="Times New Roman"/>
          <w:sz w:val="32"/>
          <w:szCs w:val="24"/>
          <w:highlight w:val="none"/>
          <w:lang w:val="en-US" w:eastAsia="zh-CN"/>
        </w:rPr>
        <w:t>撰稿人：张国旗</w:t>
      </w:r>
    </w:p>
    <w:p w14:paraId="2387C8E8">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审核：张运</w:t>
      </w:r>
    </w:p>
    <w:p w14:paraId="044B3D61">
      <w:pPr>
        <w:widowControl w:val="0"/>
        <w:bidi w:val="0"/>
        <w:spacing w:line="240" w:lineRule="auto"/>
        <w:ind w:left="0" w:leftChars="0" w:firstLine="0" w:firstLineChars="0"/>
        <w:jc w:val="right"/>
        <w:rPr>
          <w:rFonts w:hint="default" w:ascii="Times New Roman" w:hAnsi="Times New Roman" w:eastAsia="仿宋" w:cs="Times New Roman"/>
          <w:sz w:val="32"/>
          <w:szCs w:val="24"/>
          <w:lang w:val="en-US" w:eastAsia="zh-CN"/>
        </w:rPr>
      </w:pPr>
      <w:bookmarkStart w:id="0" w:name="_GoBack"/>
      <w:bookmarkEnd w:id="0"/>
      <w:r>
        <w:rPr>
          <w:rFonts w:ascii="Times New Roman" w:hAnsi="Times New Roman" w:eastAsia="仿宋" w:cs="Times New Roman"/>
          <w:sz w:val="32"/>
          <w:szCs w:val="24"/>
        </w:rPr>
        <w:drawing>
          <wp:inline distT="0" distB="0" distL="114300" distR="114300">
            <wp:extent cx="1187450" cy="1168400"/>
            <wp:effectExtent l="0" t="0" r="6350" b="0"/>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pic:cNvPicPr>
                  </pic:nvPicPr>
                  <pic:blipFill>
                    <a:blip r:embed="rId5"/>
                    <a:stretch>
                      <a:fillRect/>
                    </a:stretch>
                  </pic:blipFill>
                  <pic:spPr>
                    <a:xfrm>
                      <a:off x="0" y="0"/>
                      <a:ext cx="1187450" cy="1168400"/>
                    </a:xfrm>
                    <a:prstGeom prst="rect">
                      <a:avLst/>
                    </a:prstGeom>
                    <a:noFill/>
                    <a:ln>
                      <a:noFill/>
                    </a:ln>
                  </pic:spPr>
                </pic:pic>
              </a:graphicData>
            </a:graphic>
          </wp:inline>
        </w:drawing>
      </w:r>
    </w:p>
    <w:p w14:paraId="077ACD8E">
      <w:r>
        <w:rPr>
          <w:rFonts w:hint="default" w:ascii="Times New Roman" w:hAnsi="Times New Roman" w:eastAsia="仿宋" w:cs="Times New Roman"/>
          <w:kern w:val="0"/>
          <w:sz w:val="24"/>
          <w:szCs w:val="24"/>
          <w:lang w:val="en-US" w:eastAsia="zh-CN" w:bidi="ar"/>
        </w:rPr>
        <w:drawing>
          <wp:inline distT="0" distB="0" distL="114300" distR="114300">
            <wp:extent cx="5273675" cy="3503295"/>
            <wp:effectExtent l="0" t="0" r="9525" b="1905"/>
            <wp:docPr id="2" name="图片 2" descr="467b3544aa10c7b69a0d3f65ce8dd4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67b3544aa10c7b69a0d3f65ce8dd4d2"/>
                    <pic:cNvPicPr>
                      <a:picLocks noChangeAspect="1"/>
                    </pic:cNvPicPr>
                  </pic:nvPicPr>
                  <pic:blipFill>
                    <a:blip r:embed="rId6"/>
                    <a:stretch>
                      <a:fillRect/>
                    </a:stretch>
                  </pic:blipFill>
                  <pic:spPr>
                    <a:xfrm>
                      <a:off x="0" y="0"/>
                      <a:ext cx="5273675" cy="3503295"/>
                    </a:xfrm>
                    <a:prstGeom prst="rect">
                      <a:avLst/>
                    </a:prstGeom>
                  </pic:spPr>
                </pic:pic>
              </a:graphicData>
            </a:graphic>
          </wp:inline>
        </w:drawing>
      </w:r>
    </w:p>
    <w:sectPr>
      <w:headerReference r:id="rId3" w:type="default"/>
      <w:pgSz w:w="11906" w:h="16838"/>
      <w:pgMar w:top="156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F4FE4">
    <w:pPr>
      <w:pStyle w:val="4"/>
      <w:pBdr>
        <w:bottom w:val="none" w:color="auto" w:sz="0" w:space="0"/>
      </w:pBdr>
      <w:jc w:val="both"/>
    </w:pPr>
    <w:r>
      <w:drawing>
        <wp:anchor distT="0" distB="0" distL="114300" distR="114300" simplePos="0" relativeHeight="251659264" behindDoc="1" locked="0" layoutInCell="1" allowOverlap="1">
          <wp:simplePos x="0" y="0"/>
          <wp:positionH relativeFrom="margin">
            <wp:align>center</wp:align>
          </wp:positionH>
          <wp:positionV relativeFrom="paragraph">
            <wp:posOffset>69215</wp:posOffset>
          </wp:positionV>
          <wp:extent cx="6782435" cy="513080"/>
          <wp:effectExtent l="0" t="0" r="0" b="1270"/>
          <wp:wrapTight wrapText="bothSides">
            <wp:wrapPolygon>
              <wp:start x="15713" y="0"/>
              <wp:lineTo x="0" y="0"/>
              <wp:lineTo x="0" y="18446"/>
              <wp:lineTo x="5703" y="20851"/>
              <wp:lineTo x="21477" y="20851"/>
              <wp:lineTo x="21477" y="17644"/>
              <wp:lineTo x="20203" y="13634"/>
              <wp:lineTo x="19232" y="12832"/>
              <wp:lineTo x="21355" y="8822"/>
              <wp:lineTo x="21477" y="4812"/>
              <wp:lineTo x="20809" y="0"/>
              <wp:lineTo x="15713" y="0"/>
            </wp:wrapPolygon>
          </wp:wrapTight>
          <wp:docPr id="1" name="图片 1" descr="C:\Users\Administrator\Desktop\未标题-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未标题-1.w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6782585" cy="51308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3DB433"/>
    <w:multiLevelType w:val="singleLevel"/>
    <w:tmpl w:val="B13DB43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A87"/>
    <w:rsid w:val="00065C06"/>
    <w:rsid w:val="0035113B"/>
    <w:rsid w:val="003A66A4"/>
    <w:rsid w:val="004F2A87"/>
    <w:rsid w:val="006B3D1E"/>
    <w:rsid w:val="007065AE"/>
    <w:rsid w:val="0073199B"/>
    <w:rsid w:val="007456A0"/>
    <w:rsid w:val="008355BB"/>
    <w:rsid w:val="009014D3"/>
    <w:rsid w:val="00C372FC"/>
    <w:rsid w:val="00D65DCA"/>
    <w:rsid w:val="00E70812"/>
    <w:rsid w:val="00F70C01"/>
    <w:rsid w:val="00FF5190"/>
    <w:rsid w:val="045F663E"/>
    <w:rsid w:val="06B47FC9"/>
    <w:rsid w:val="071C1AB9"/>
    <w:rsid w:val="07221569"/>
    <w:rsid w:val="07DD40F6"/>
    <w:rsid w:val="083B7C49"/>
    <w:rsid w:val="0CB1267E"/>
    <w:rsid w:val="0E0A67C5"/>
    <w:rsid w:val="0E73679E"/>
    <w:rsid w:val="0FA436B7"/>
    <w:rsid w:val="0FAD6545"/>
    <w:rsid w:val="0FC0235B"/>
    <w:rsid w:val="10CF4D8A"/>
    <w:rsid w:val="164B0998"/>
    <w:rsid w:val="16E96798"/>
    <w:rsid w:val="1CDA2E0B"/>
    <w:rsid w:val="21A55BAC"/>
    <w:rsid w:val="21A60DC4"/>
    <w:rsid w:val="225C17EC"/>
    <w:rsid w:val="236405A0"/>
    <w:rsid w:val="25AF1BE4"/>
    <w:rsid w:val="25B55B0A"/>
    <w:rsid w:val="25EE16C9"/>
    <w:rsid w:val="264A2919"/>
    <w:rsid w:val="266175BF"/>
    <w:rsid w:val="27003495"/>
    <w:rsid w:val="28C049EA"/>
    <w:rsid w:val="29163431"/>
    <w:rsid w:val="29EF0897"/>
    <w:rsid w:val="2B767FBE"/>
    <w:rsid w:val="2BF15CE7"/>
    <w:rsid w:val="2D364384"/>
    <w:rsid w:val="2DC669A6"/>
    <w:rsid w:val="2E4775E3"/>
    <w:rsid w:val="2EDE3EE6"/>
    <w:rsid w:val="315179C6"/>
    <w:rsid w:val="33274995"/>
    <w:rsid w:val="33A475BE"/>
    <w:rsid w:val="33C137F8"/>
    <w:rsid w:val="369A381C"/>
    <w:rsid w:val="36ED7D2B"/>
    <w:rsid w:val="37CF5FD6"/>
    <w:rsid w:val="381216B5"/>
    <w:rsid w:val="38AD19AF"/>
    <w:rsid w:val="39431EEE"/>
    <w:rsid w:val="39F27144"/>
    <w:rsid w:val="3A522D3D"/>
    <w:rsid w:val="3A6D2312"/>
    <w:rsid w:val="3B265F2E"/>
    <w:rsid w:val="3B766568"/>
    <w:rsid w:val="3ED15FEF"/>
    <w:rsid w:val="3EDF266A"/>
    <w:rsid w:val="3F233925"/>
    <w:rsid w:val="3FDD3C4F"/>
    <w:rsid w:val="40297E1C"/>
    <w:rsid w:val="44BD69EB"/>
    <w:rsid w:val="456055DE"/>
    <w:rsid w:val="45F31C63"/>
    <w:rsid w:val="45FD6761"/>
    <w:rsid w:val="461343DB"/>
    <w:rsid w:val="4ABF4154"/>
    <w:rsid w:val="4B4134FD"/>
    <w:rsid w:val="4B543446"/>
    <w:rsid w:val="4E4364C2"/>
    <w:rsid w:val="50EA418D"/>
    <w:rsid w:val="510C0237"/>
    <w:rsid w:val="521E7BC5"/>
    <w:rsid w:val="52793D86"/>
    <w:rsid w:val="536C7C6B"/>
    <w:rsid w:val="53A662DF"/>
    <w:rsid w:val="53AD3873"/>
    <w:rsid w:val="53CF538E"/>
    <w:rsid w:val="557B2A48"/>
    <w:rsid w:val="55DB0099"/>
    <w:rsid w:val="57F01B04"/>
    <w:rsid w:val="596C1A28"/>
    <w:rsid w:val="59E7637A"/>
    <w:rsid w:val="59EE1099"/>
    <w:rsid w:val="5CF95551"/>
    <w:rsid w:val="5D9615A2"/>
    <w:rsid w:val="61863437"/>
    <w:rsid w:val="61E21505"/>
    <w:rsid w:val="624D40D3"/>
    <w:rsid w:val="62E354DE"/>
    <w:rsid w:val="632528C9"/>
    <w:rsid w:val="642D34F2"/>
    <w:rsid w:val="64592EAE"/>
    <w:rsid w:val="65326415"/>
    <w:rsid w:val="65605C5F"/>
    <w:rsid w:val="65AE7F5D"/>
    <w:rsid w:val="65FB0E53"/>
    <w:rsid w:val="66452A5A"/>
    <w:rsid w:val="678149E0"/>
    <w:rsid w:val="68BE0B64"/>
    <w:rsid w:val="68D47E6F"/>
    <w:rsid w:val="692244D0"/>
    <w:rsid w:val="6968585F"/>
    <w:rsid w:val="6A19339F"/>
    <w:rsid w:val="6BCE176C"/>
    <w:rsid w:val="6D07449C"/>
    <w:rsid w:val="6D8365BD"/>
    <w:rsid w:val="6E2A4350"/>
    <w:rsid w:val="6E3E1339"/>
    <w:rsid w:val="6E6D657F"/>
    <w:rsid w:val="6EC32276"/>
    <w:rsid w:val="6F0F1346"/>
    <w:rsid w:val="6F57027E"/>
    <w:rsid w:val="6F7810F5"/>
    <w:rsid w:val="71313AC1"/>
    <w:rsid w:val="72DB7A02"/>
    <w:rsid w:val="72DE08AE"/>
    <w:rsid w:val="72EE6ECA"/>
    <w:rsid w:val="73A51C06"/>
    <w:rsid w:val="752B4467"/>
    <w:rsid w:val="772054B7"/>
    <w:rsid w:val="77B64349"/>
    <w:rsid w:val="78404F59"/>
    <w:rsid w:val="78D0113A"/>
    <w:rsid w:val="79120DC0"/>
    <w:rsid w:val="7B086666"/>
    <w:rsid w:val="7B870239"/>
    <w:rsid w:val="7C007CD6"/>
    <w:rsid w:val="7C6C3669"/>
    <w:rsid w:val="7CFB2380"/>
    <w:rsid w:val="7DC1685E"/>
    <w:rsid w:val="7E4839B7"/>
    <w:rsid w:val="7E9D64A0"/>
    <w:rsid w:val="7F726CC2"/>
    <w:rsid w:val="7FC73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3624</Words>
  <Characters>4003</Characters>
  <Lines>0</Lines>
  <Paragraphs>0</Paragraphs>
  <TotalTime>33</TotalTime>
  <ScaleCrop>false</ScaleCrop>
  <LinksUpToDate>false</LinksUpToDate>
  <CharactersWithSpaces>4052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2021-09-23T01:41:00Z</dcterms:created>
  <dc:creator>A</dc:creator>
  <cp:keywords>CPCA, PCB, 每周资讯, 第141期</cp:keywords>
  <cp:lastModifiedBy>朕已阅</cp:lastModifiedBy>
  <cp:lastPrinted>2021-09-23T03:57:00Z</cp:lastPrinted>
  <dcterms:modified xsi:type="dcterms:W3CDTF">2026-07-07T02:03:08Z</dcterms:modified>
  <dc:subject>CPCA141期每周资讯热点报告</dc:subject>
  <dc:title>CPCA每周资讯第141期</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eyJoZGlkIjoiZWFlNjQ3NDIwZDEwN2RkZjI5ZmVhOGI2NjVlYTBkMTciLCJ1c2VySWQiOiIxMzgyMTM1ODU2In0=</vt:lpwstr>
  </property>
  <property fmtid="{D5CDD505-2E9C-101B-9397-08002B2CF9AE}" pid="3" name="KSOProductBuildVer">
    <vt:lpwstr>2052-12.1.0.26895</vt:lpwstr>
  </property>
  <property fmtid="{D5CDD505-2E9C-101B-9397-08002B2CF9AE}" pid="4" name="ICV">
    <vt:lpwstr>475234387207408695256EAD167E8E62_13</vt:lpwstr>
  </property>
</Properties>
</file>