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E3612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华文楷体" w:hAnsi="华文楷体" w:eastAsia="华文楷体" w:cs="华文楷体"/>
          <w:b/>
          <w:bCs/>
          <w:snapToGrid w:val="0"/>
          <w:color w:val="548235" w:themeColor="accent6" w:themeShade="BF"/>
          <w:kern w:val="0"/>
          <w:sz w:val="28"/>
          <w:szCs w:val="28"/>
          <w:lang w:val="en-US" w:eastAsia="zh-CN" w:bidi="ar"/>
        </w:rPr>
      </w:pPr>
    </w:p>
    <w:p w14:paraId="287E5B2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eastAsia="仿宋" w:cs="Times New Roman"/>
          <w:color w:val="04AC5C"/>
          <w:sz w:val="32"/>
          <w:szCs w:val="24"/>
          <w:lang w:val="en-US"/>
        </w:rPr>
      </w:pPr>
      <w:r>
        <w:rPr>
          <w:rFonts w:hint="eastAsia"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lang w:val="en-US" w:eastAsia="zh-CN" w:bidi="ar"/>
        </w:rPr>
        <w:t>第141期</w:t>
      </w:r>
    </w:p>
    <w:p w14:paraId="62D56D6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Arial" w:hAnsi="Times New Roman" w:eastAsia="仿宋" w:cs="Times New Roman"/>
          <w:color w:val="04AC5C"/>
          <w:sz w:val="21"/>
          <w:szCs w:val="24"/>
          <w:lang w:val="en-US"/>
        </w:rPr>
      </w:pPr>
      <w:r>
        <w:rPr>
          <w:rFonts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u w:val="single" w:color="auto"/>
          <w:lang w:val="en-US" w:eastAsia="zh-CN" w:bidi="ar"/>
        </w:rPr>
        <w:t>信息部                                            2026年6月</w:t>
      </w:r>
    </w:p>
    <w:p w14:paraId="59B0599D">
      <w:pPr>
        <w:keepNext/>
        <w:keepLines/>
        <w:widowControl w:val="0"/>
        <w:numPr>
          <w:ilvl w:val="0"/>
          <w:numId w:val="0"/>
        </w:numPr>
        <w:bidi w:val="0"/>
        <w:spacing w:before="260" w:beforeLines="0" w:beforeAutospacing="0" w:after="260" w:afterLines="0" w:afterAutospacing="0" w:line="413" w:lineRule="auto"/>
        <w:jc w:val="left"/>
        <w:outlineLvl w:val="1"/>
        <w:rPr>
          <w:rFonts w:hint="default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每周资讯|：5月国内市场手机出货量同增16.5%；机构预测2026年中国人形机器人出货量预测上调至5万台；兴森科技拟加码mSAP及封装基板产能..</w:t>
      </w:r>
    </w:p>
    <w:p w14:paraId="03F497D5">
      <w:pPr>
        <w:keepNext/>
        <w:keepLines/>
        <w:widowControl w:val="0"/>
        <w:numPr>
          <w:ilvl w:val="0"/>
          <w:numId w:val="1"/>
        </w:numPr>
        <w:bidi w:val="0"/>
        <w:spacing w:before="260" w:beforeLines="0" w:beforeAutospacing="0" w:after="260" w:afterLines="0" w:afterAutospacing="0" w:line="413" w:lineRule="auto"/>
        <w:jc w:val="left"/>
        <w:outlineLvl w:val="1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行业</w:t>
      </w:r>
    </w:p>
    <w:p w14:paraId="39787E5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三部门印发《利用外资固稳促优行动方案》</w:t>
      </w:r>
    </w:p>
    <w:p w14:paraId="1E95CF83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  <w:t>6月22日，商务部、国家发展改革委、财政部联合印发《利用外资固稳促优行动方案》，国务院新闻办公室同日下午举行新闻发布会介绍有关情况。《行动方案》从扩大市场准入、提升外商投资便利度、提高投资促进水平、健全外商投资服务保障体系、优化外资管理等5个方面提出15条举措，强调在要素获取、资质许可、标准制定等方面保障外资企业国民待遇，引导外资投向生产性服务业和现代服务业，并鼓励外资企业在华设立地区总部、研发中心等功能性机构。国家发展改革委外资司负责人表示，将以制度型开放为重点，在产权保护、政府采购、金融等领域实现规则规制相容相通。分析人士认为，稳外资政策有助于改善外部宏观环境，为电子信息制造、高端装备等领域外资配套及本土供应链协同创造更稳定预期。（商务部）</w:t>
      </w:r>
    </w:p>
    <w:p w14:paraId="3A30106E">
      <w:pPr>
        <w:spacing w:line="360" w:lineRule="auto"/>
        <w:jc w:val="left"/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</w:pPr>
    </w:p>
    <w:p w14:paraId="0EB309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前5个月全国一般公共预算收入同比增长4%</w:t>
      </w:r>
    </w:p>
    <w:p w14:paraId="07841AAF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  <w:t>6月22日，财政部发布数据显示，2026年前5个月，全国一般公共预算收入100465亿元，同比增长4%，增幅比前4个月提高0.5个百分点，收入向好态势继续巩固。其中，全国税收收入82617亿元，同比增长4.4%；非税收入17848亿元，同比增长2.2%。财政支出方面，前5个月全国一般公共预算支出113877亿元，同比增长0.8%，科学技术、节能环保等重点领域支出得到较好保障。财政部表示，将继续实施更加积极的财政政策，强化对科技创新、先进制造和绿色发展的财力保障，与适度宽松货币政策协同，支持实体经济特别是制造业平稳运行。（财政部）</w:t>
      </w:r>
    </w:p>
    <w:p w14:paraId="445F0B5B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</w:pPr>
    </w:p>
    <w:p w14:paraId="24BC51B9">
      <w:pPr>
        <w:spacing w:line="240" w:lineRule="auto"/>
        <w:ind w:left="0" w:leftChars="0" w:firstLine="0" w:firstLineChars="0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五部门部署开展工业5G独立专网试点</w:t>
      </w:r>
    </w:p>
    <w:p w14:paraId="43D5ECBE">
      <w:pPr>
        <w:spacing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24日，据工业和信息化部消息，工业和信息化部、交通运输部、国务院国资委等五部门近日联合印发通知，部署开展工业5G独立专网试点，支持原材料、装备制造、消费品、电子信息、国防科技、能源交通等行业领域大型特大型企业建设独立专网，鼓励“5G+工业互联网”融合应用城市试点率先开展独立专网建设。试点内容包括部署基础设施、创新应用场景、建设管理平台、探索建设模式、做好安全保障等，提出积极挖掘高速传输、超低时延、通感一体、高精定位等5G/5G-A技术特性应用潜力，推动独立专网与工业生产深度融合。通知还要求加大对试点项目建设支持力度，培育独立专网设备、解决方案等服务供应商。分析人士指出，政策将带动5G模组、工业网关及配套PCB、通信设备需求。（工信部）</w:t>
      </w:r>
    </w:p>
    <w:p w14:paraId="699A251B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lang w:val="en-US" w:eastAsia="zh-CN"/>
        </w:rPr>
      </w:pPr>
    </w:p>
    <w:p w14:paraId="156C9588">
      <w:pPr>
        <w:keepNext/>
        <w:keepLines/>
        <w:widowControl w:val="0"/>
        <w:numPr>
          <w:ilvl w:val="0"/>
          <w:numId w:val="1"/>
        </w:numPr>
        <w:bidi w:val="0"/>
        <w:spacing w:before="260" w:beforeLines="0" w:beforeAutospacing="0" w:after="260" w:afterLines="0" w:afterAutospacing="0" w:line="413" w:lineRule="auto"/>
        <w:ind w:left="0" w:leftChars="0" w:firstLine="0" w:firstLineChars="0"/>
        <w:jc w:val="left"/>
        <w:outlineLvl w:val="1"/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市场</w:t>
      </w:r>
    </w:p>
    <w:p w14:paraId="2C521472">
      <w:pPr>
        <w:spacing w:line="360" w:lineRule="auto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中国信通院：5月国内市场手机出货量2763.9万部，同比增长16.5%</w:t>
      </w:r>
    </w:p>
    <w:p w14:paraId="43A9EA19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24日，中国信通院发布2026年5月国内手机市场运行分析报告。数据显示，5月国内市场手机出货量2763.9万部，同比增长16.5%；其中5G手机2622.4万部，同比增长23.8%，占同期手机出货量的94.9%。1—5月，国内市场手机出货量1.14亿部，同比下降3.6%；其中5G手机1.06亿部，同比增长4.2%，占同期手机出货量的93.2%。5月国产品牌手机出货量2397.0万部，同比增长25.0%，占同期手机出货量的86.7%。（中国信通院）</w:t>
      </w:r>
    </w:p>
    <w:p w14:paraId="1BA827A9">
      <w:pPr>
        <w:spacing w:line="240" w:lineRule="auto"/>
        <w:ind w:left="0" w:leftChars="0" w:firstLine="640" w:firstLineChars="200"/>
        <w:jc w:val="left"/>
        <w:rPr>
          <w:rFonts w:hint="default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2644C559">
      <w:pPr>
        <w:spacing w:line="240" w:lineRule="auto"/>
        <w:ind w:left="0" w:leftChars="0" w:firstLine="0" w:firstLineChars="0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乘联分会：6月1—21日新能源乘用车零售58.3万辆，零售渗透率63.8%</w:t>
      </w:r>
    </w:p>
    <w:p w14:paraId="16D8ABEC">
      <w:pPr>
        <w:spacing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24日，乘联分会发布数据显示，6月1—21日，全国乘用车市场新能源零售58.3万辆，同比去年6月同期下降10%，较上月同期增长11%，今年以来累计零售428.1万辆，同比下降14%；6月1—21日，全国乘用车厂商新能源批发67.3万辆，同比去年6月同期增长8%，较上月同期增长17%，今年以来累计批发597.9万辆，同比增长2%。6月1—21日，全国乘用车市场新能源零售渗透率63.8%，厂商新能源批发渗透率67.3%。（证券时报）</w:t>
      </w:r>
    </w:p>
    <w:p w14:paraId="4E914E51">
      <w:pPr>
        <w:spacing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5AD92B3D">
      <w:pPr>
        <w:spacing w:line="360" w:lineRule="auto"/>
        <w:ind w:firstLine="643" w:firstLineChars="200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摩根士丹利：2026年中国人形机器人出货量预测上调至5万台</w:t>
      </w:r>
    </w:p>
    <w:p w14:paraId="4804EA49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23日，摩根士丹利发布研究报告称，中国人形机器人行业从示范应用转向商业化部署的速度超出预期，将2026年中国人形机器人出货量预测从2.8万台大幅上调至5万台，几乎是此前预期的两倍，这是该行今年以来第二次翻倍上调相关预测。报告预计，2026年中国人形机器人市场规模将达20亿美元，到2030年将攀升至150亿美元，届时年出货量约44.6万台。据财联社报道，2026年上半年多个标志性商业订单相继落地，人形机器人在工厂产线、物流分拣及商业服务等场景应用持续扩展，行业正由展示演示阶段加速迈入早期商业化阶段。（财联社）</w:t>
      </w:r>
    </w:p>
    <w:p w14:paraId="511F491A">
      <w:pPr>
        <w:spacing w:line="240" w:lineRule="auto"/>
        <w:ind w:left="0" w:leftChars="0"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4D02DBEA">
      <w:pPr>
        <w:keepNext/>
        <w:keepLines/>
        <w:widowControl w:val="0"/>
        <w:numPr>
          <w:ilvl w:val="0"/>
          <w:numId w:val="1"/>
        </w:numPr>
        <w:bidi w:val="0"/>
        <w:spacing w:before="260" w:beforeLines="0" w:beforeAutospacing="0" w:after="260" w:afterLines="0" w:afterAutospacing="0" w:line="413" w:lineRule="auto"/>
        <w:ind w:left="0" w:leftChars="0" w:firstLine="0" w:firstLineChars="0"/>
        <w:jc w:val="left"/>
        <w:outlineLvl w:val="1"/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lang w:val="en-US" w:eastAsia="zh-CN" w:bidi="ar-SA"/>
        </w:rPr>
        <w:t>企业</w:t>
      </w:r>
    </w:p>
    <w:p w14:paraId="7BBFDE17">
      <w:pPr>
        <w:spacing w:line="360" w:lineRule="auto"/>
        <w:jc w:val="center"/>
        <w:rPr>
          <w:rFonts w:hint="default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兴森科技拟定增募资不超过39亿元，加码mSAP及封装基板产能</w:t>
      </w:r>
    </w:p>
    <w:p w14:paraId="03F24179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23日，兴森科技发布2026年度向特定对象发行A股股票预案，拟募集资金总额不超过39亿元，其中20亿元投向珠海兴森高阶mSAP基板智能制造及产业化项目（一期），11亿元投向珠海兴科集成电路封装基板项目（三期），其余用于补充流动资金及偿还银行贷款。预案显示，mSAP项目达产后将新增年产12万平方米基板产能，扩大光模块基板生产规模；封装基板三期达产后每月新增2.5万平方米产能，覆盖存储、汽车、射频等芯片基板类别。公司表示，在全球半导体需求增长带动下，亟需扩大封装基板产能以发挥规模效应。本次发行尚需股东会及监管程序批准。（中国证券报）</w:t>
      </w:r>
    </w:p>
    <w:p w14:paraId="62A5C3F7">
      <w:pPr>
        <w:spacing w:line="360" w:lineRule="auto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3D7A82BE">
      <w:pPr>
        <w:spacing w:line="360" w:lineRule="auto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骏亚科技拟15.57亿元投建高多层、HDI线路板项目</w:t>
      </w:r>
    </w:p>
    <w:p w14:paraId="4C8F5A4E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22日晚间，骏亚科技公告称，公司拟在江西龙南现有厂房投资建设年产60万平方米高多层、HDI线路板项目，总投资15.57亿元，分两期实施，一期6.28亿元、二期9.29亿元，预计2026年第三季度启动建设。项目将购置数控钻机、LDI曝光机、DES蚀刻线、镭射机、VCP线等设备，建成后形成年产60万平方米高多层PCB生产能力，不涉及新增土地及基建。公司表示，此举旨在抓住全球科技产业供应链重构机遇，加大高端产品布局，优化产品结构，提升在高端市场的竞争优势及市场占有率。（新浪财经）</w:t>
      </w:r>
    </w:p>
    <w:p w14:paraId="68B21210">
      <w:pPr>
        <w:spacing w:line="360" w:lineRule="auto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7CF2C053">
      <w:pPr>
        <w:spacing w:line="360" w:lineRule="auto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广合科技拟60亿元投建东莞智造总部项目</w:t>
      </w:r>
    </w:p>
    <w:p w14:paraId="1961B372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22日晚间，广合科技公告称，拟与东莞水乡特色发展经济区管理委员会、东莞市麻涌镇人民政府签订投资协议，在东莞市水乡经济区麻涌镇投资建设“广合科技东莞智造总部项目”，项目投资总额60亿元，主要从事高端装备印制电路板研发、生产、制造及销售，其中固定资产投资50亿元，项目分两期建设。公司同日披露拟发行可转债募集资金不超过36亿元。广合科技表示，项目有助于完善产业布局，满足客户对高端PCB产能的持续增长需求，强化公司在算力、网络通信等赛道竞争力。（每日经济新闻）</w:t>
      </w:r>
    </w:p>
    <w:p w14:paraId="161761F8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01CB4597">
      <w:pPr>
        <w:spacing w:line="360" w:lineRule="auto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沪电股份43亿元AI芯片配套PCB扩产项目有序推进</w:t>
      </w:r>
    </w:p>
    <w:p w14:paraId="2CE32163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24日，沪电股份发布投资者关系活动记录表表示，公司2024年第四季度规划投资约43亿元的人工智能芯片配套高端印制电路板扩产项目正有序推进，预期2026年下半年开始试产并逐步提升产能，以更好满足高速运算服务器、人工智能等新兴计算场景需求。6月21日，公司公告以2.07亿元收购昆山普江仓储设施有限公司100%股权，将相关厂房用于产能扩建，并拟吸收合并该全资子公司以优化管理架构。公司称，2026年第一季度已加速启动系列产能扩充计划，聚焦高阶PCB瓶颈制程迭代升级与靶向性产能扩充。（证券时报）</w:t>
      </w:r>
    </w:p>
    <w:p w14:paraId="1CBF58D8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7E5D4754">
      <w:pPr>
        <w:spacing w:line="360" w:lineRule="auto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生益电子吉安算力板项目计划6月末试生产</w:t>
      </w:r>
    </w:p>
    <w:p w14:paraId="5782AC31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22日，生益电子发布投资者关系活动记录表公告，公司吉安智能制造高多层算力电路板项目规划年产能70万平方米，产品以平均16层高多层板为主，目前正在进行第一阶段设备采购及安装调试，计划2026年6月末开始试生产。东莞人工智能计算HDI生产基地建设项目主要生产5阶及以上高阶HDI板，达产后年产能16.72万平方米，已于2026年5月末正式开工建设，计划2028年试生产；泰国生产基地建设项目已完成厂房主体建筑封顶，计划于2026年下半年进行试生产。公司表示，客户储备丰富，已涵盖众多境内外头部AI客户，新客户认证进度良好。（科创板日报）</w:t>
      </w:r>
    </w:p>
    <w:p w14:paraId="407368CE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4F961920">
      <w:pPr>
        <w:spacing w:line="360" w:lineRule="auto"/>
        <w:jc w:val="center"/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Arial" w:hAnsi="Arial" w:eastAsia="黑体" w:cs="Times New Roman"/>
          <w:b/>
          <w:kern w:val="2"/>
          <w:sz w:val="32"/>
          <w:szCs w:val="24"/>
          <w:highlight w:val="none"/>
          <w:lang w:val="en-US" w:eastAsia="zh-CN" w:bidi="ar-SA"/>
        </w:rPr>
        <w:t>红板科技拟9亿元投建高阶HDI精密电路板生产线技改项目</w:t>
      </w:r>
    </w:p>
    <w:p w14:paraId="7D395D4C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  <w:t>6月24日，红板科技公告称，全资子公司赣州红板科技有限公司拟投资不超过9亿元，建设“高阶HDI精密电路板生产线设备升级智能化改造项目”，建设期12个月，主要生产COB直显HDI电路板等产品。项目将在赣州红板现有厂区实施，不新增建设用地，资金来源为子公司自有资金及自筹资金。公司表示，项目建成后将提升高阶HDI制造能力，更好对接新型显示、汽车电子及算力相关应用场景需求。（证券时报）</w:t>
      </w:r>
    </w:p>
    <w:p w14:paraId="2D601828">
      <w:pPr>
        <w:spacing w:line="360" w:lineRule="auto"/>
        <w:ind w:firstLine="560" w:firstLineChars="200"/>
        <w:jc w:val="lef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69DF2115">
      <w:pPr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4E401AB0">
      <w:pPr>
        <w:spacing w:line="360" w:lineRule="auto"/>
        <w:jc w:val="left"/>
        <w:rPr>
          <w:rFonts w:hint="eastAsia" w:ascii="Times New Roman" w:hAnsi="Times New Roman" w:eastAsia="仿宋" w:cs="Times New Roman"/>
          <w:sz w:val="32"/>
          <w:szCs w:val="24"/>
          <w:highlight w:val="none"/>
          <w:lang w:val="en-US" w:eastAsia="zh-CN"/>
        </w:rPr>
      </w:pPr>
    </w:p>
    <w:p w14:paraId="7F6F56B3">
      <w:pPr>
        <w:keepNext w:val="0"/>
        <w:keepLines w:val="0"/>
        <w:widowControl/>
        <w:suppressLineNumbers w:val="0"/>
        <w:spacing w:line="360" w:lineRule="auto"/>
        <w:ind w:firstLine="0" w:firstLineChars="0"/>
        <w:jc w:val="both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0AA2B014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1D2A5CA4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20B8BC84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646FC81E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2B4D5C73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5908F830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</w:p>
    <w:p w14:paraId="34918E87">
      <w:pPr>
        <w:keepNext w:val="0"/>
        <w:keepLines w:val="0"/>
        <w:widowControl/>
        <w:suppressLineNumbers w:val="0"/>
        <w:spacing w:line="360" w:lineRule="auto"/>
        <w:ind w:firstLine="0" w:firstLineChars="0"/>
        <w:jc w:val="both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</w:p>
    <w:p w14:paraId="5004A3C8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>更多精彩内容请扫描下方二维码，关注CPCA服务号</w:t>
      </w:r>
    </w:p>
    <w:p w14:paraId="70D08752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>撰稿人：张国旗</w:t>
      </w:r>
    </w:p>
    <w:p w14:paraId="2387C8E8">
      <w:pPr>
        <w:keepNext w:val="0"/>
        <w:keepLines w:val="0"/>
        <w:widowControl/>
        <w:suppressLineNumbers w:val="0"/>
        <w:spacing w:line="360" w:lineRule="auto"/>
        <w:ind w:firstLine="0" w:firstLineChars="0"/>
        <w:jc w:val="right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  <w:lang w:val="en-US" w:eastAsia="zh-CN" w:bidi="ar"/>
        </w:rPr>
        <w:t>审核：张运</w:t>
      </w:r>
    </w:p>
    <w:p w14:paraId="044B3D61">
      <w:pPr>
        <w:widowControl w:val="0"/>
        <w:bidi w:val="0"/>
        <w:spacing w:line="240" w:lineRule="auto"/>
        <w:ind w:left="0" w:leftChars="0" w:firstLine="0" w:firstLineChars="0"/>
        <w:jc w:val="right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24"/>
        </w:rPr>
        <w:drawing>
          <wp:inline distT="0" distB="0" distL="114300" distR="114300">
            <wp:extent cx="1187450" cy="1168400"/>
            <wp:effectExtent l="0" t="0" r="6350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CD8E">
      <w:r>
        <w:rPr>
          <w:rFonts w:hint="default" w:ascii="Times New Roman" w:hAnsi="Times New Roman" w:eastAsia="仿宋" w:cs="Times New Roma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503295"/>
            <wp:effectExtent l="0" t="0" r="9525" b="1905"/>
            <wp:docPr id="2" name="图片 2" descr="467b3544aa10c7b69a0d3f65ce8dd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7b3544aa10c7b69a0d3f65ce8dd4d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5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4FE4">
    <w:pPr>
      <w:pStyle w:val="4"/>
      <w:pBdr>
        <w:bottom w:val="none" w:color="auto" w:sz="0" w:space="0"/>
      </w:pBdr>
      <w:jc w:val="both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69215</wp:posOffset>
          </wp:positionV>
          <wp:extent cx="6782435" cy="513080"/>
          <wp:effectExtent l="0" t="0" r="0" b="1270"/>
          <wp:wrapTight wrapText="bothSides">
            <wp:wrapPolygon>
              <wp:start x="15713" y="0"/>
              <wp:lineTo x="0" y="0"/>
              <wp:lineTo x="0" y="18446"/>
              <wp:lineTo x="5703" y="20851"/>
              <wp:lineTo x="21477" y="20851"/>
              <wp:lineTo x="21477" y="17644"/>
              <wp:lineTo x="20203" y="13634"/>
              <wp:lineTo x="19232" y="12832"/>
              <wp:lineTo x="21355" y="8822"/>
              <wp:lineTo x="21477" y="4812"/>
              <wp:lineTo x="20809" y="0"/>
              <wp:lineTo x="15713" y="0"/>
            </wp:wrapPolygon>
          </wp:wrapTight>
          <wp:docPr id="1" name="图片 1" descr="C:\Users\Administrator\Desktop\未标题-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未标题-1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25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DB433"/>
    <w:multiLevelType w:val="singleLevel"/>
    <w:tmpl w:val="B13DB4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87"/>
    <w:rsid w:val="00065C06"/>
    <w:rsid w:val="0035113B"/>
    <w:rsid w:val="003A66A4"/>
    <w:rsid w:val="004F2A87"/>
    <w:rsid w:val="006B3D1E"/>
    <w:rsid w:val="007065AE"/>
    <w:rsid w:val="0073199B"/>
    <w:rsid w:val="007456A0"/>
    <w:rsid w:val="008355BB"/>
    <w:rsid w:val="009014D3"/>
    <w:rsid w:val="00C372FC"/>
    <w:rsid w:val="00D65DCA"/>
    <w:rsid w:val="00E70812"/>
    <w:rsid w:val="00F70C01"/>
    <w:rsid w:val="00FF5190"/>
    <w:rsid w:val="045F663E"/>
    <w:rsid w:val="06B47FC9"/>
    <w:rsid w:val="071C1AB9"/>
    <w:rsid w:val="07221569"/>
    <w:rsid w:val="07DD40F6"/>
    <w:rsid w:val="083B7C49"/>
    <w:rsid w:val="0CB1267E"/>
    <w:rsid w:val="0E0A67C5"/>
    <w:rsid w:val="0E73679E"/>
    <w:rsid w:val="0FA436B7"/>
    <w:rsid w:val="0FAD6545"/>
    <w:rsid w:val="0FC0235B"/>
    <w:rsid w:val="10CF4D8A"/>
    <w:rsid w:val="164B0998"/>
    <w:rsid w:val="16E96798"/>
    <w:rsid w:val="1CDA2E0B"/>
    <w:rsid w:val="21A55BAC"/>
    <w:rsid w:val="21A60DC4"/>
    <w:rsid w:val="225C17EC"/>
    <w:rsid w:val="236405A0"/>
    <w:rsid w:val="25AF1BE4"/>
    <w:rsid w:val="25B55B0A"/>
    <w:rsid w:val="25EE16C9"/>
    <w:rsid w:val="264A2919"/>
    <w:rsid w:val="266175BF"/>
    <w:rsid w:val="27003495"/>
    <w:rsid w:val="28C049EA"/>
    <w:rsid w:val="29163431"/>
    <w:rsid w:val="29EF0897"/>
    <w:rsid w:val="2B767FBE"/>
    <w:rsid w:val="2BF15CE7"/>
    <w:rsid w:val="2D364384"/>
    <w:rsid w:val="2DC669A6"/>
    <w:rsid w:val="2E4775E3"/>
    <w:rsid w:val="2EDE3EE6"/>
    <w:rsid w:val="315179C6"/>
    <w:rsid w:val="33274995"/>
    <w:rsid w:val="33A475BE"/>
    <w:rsid w:val="33C137F8"/>
    <w:rsid w:val="369A381C"/>
    <w:rsid w:val="36ED7D2B"/>
    <w:rsid w:val="37CF5FD6"/>
    <w:rsid w:val="381216B5"/>
    <w:rsid w:val="38AD19AF"/>
    <w:rsid w:val="39431EEE"/>
    <w:rsid w:val="39F27144"/>
    <w:rsid w:val="3A522D3D"/>
    <w:rsid w:val="3A6D2312"/>
    <w:rsid w:val="3B265F2E"/>
    <w:rsid w:val="3B766568"/>
    <w:rsid w:val="3ED15FEF"/>
    <w:rsid w:val="3EDF266A"/>
    <w:rsid w:val="3F233925"/>
    <w:rsid w:val="3FDD3C4F"/>
    <w:rsid w:val="40297E1C"/>
    <w:rsid w:val="44BD69EB"/>
    <w:rsid w:val="456055DE"/>
    <w:rsid w:val="45F31C63"/>
    <w:rsid w:val="45FD6761"/>
    <w:rsid w:val="461343DB"/>
    <w:rsid w:val="4B4134FD"/>
    <w:rsid w:val="4B543446"/>
    <w:rsid w:val="4E4364C2"/>
    <w:rsid w:val="50EA418D"/>
    <w:rsid w:val="510C0237"/>
    <w:rsid w:val="521E7BC5"/>
    <w:rsid w:val="52793D86"/>
    <w:rsid w:val="536C7C6B"/>
    <w:rsid w:val="53A662DF"/>
    <w:rsid w:val="53AD3873"/>
    <w:rsid w:val="53CF538E"/>
    <w:rsid w:val="557B2A48"/>
    <w:rsid w:val="55DB0099"/>
    <w:rsid w:val="57F01B04"/>
    <w:rsid w:val="596C1A28"/>
    <w:rsid w:val="59E7637A"/>
    <w:rsid w:val="59EE1099"/>
    <w:rsid w:val="5CF95551"/>
    <w:rsid w:val="5D9615A2"/>
    <w:rsid w:val="61863437"/>
    <w:rsid w:val="61E21505"/>
    <w:rsid w:val="624D40D3"/>
    <w:rsid w:val="62E354DE"/>
    <w:rsid w:val="632528C9"/>
    <w:rsid w:val="642D34F2"/>
    <w:rsid w:val="64592EAE"/>
    <w:rsid w:val="65326415"/>
    <w:rsid w:val="65605C5F"/>
    <w:rsid w:val="65AE7F5D"/>
    <w:rsid w:val="65FB0E53"/>
    <w:rsid w:val="66452A5A"/>
    <w:rsid w:val="678149E0"/>
    <w:rsid w:val="68BE0B64"/>
    <w:rsid w:val="68D47E6F"/>
    <w:rsid w:val="692244D0"/>
    <w:rsid w:val="6968585F"/>
    <w:rsid w:val="6A19339F"/>
    <w:rsid w:val="6BCE176C"/>
    <w:rsid w:val="6D07449C"/>
    <w:rsid w:val="6D8365BD"/>
    <w:rsid w:val="6E2A4350"/>
    <w:rsid w:val="6E3E1339"/>
    <w:rsid w:val="6EC32276"/>
    <w:rsid w:val="6F0F1346"/>
    <w:rsid w:val="6F57027E"/>
    <w:rsid w:val="6F7810F5"/>
    <w:rsid w:val="71313AC1"/>
    <w:rsid w:val="72DB7A02"/>
    <w:rsid w:val="72DE08AE"/>
    <w:rsid w:val="72EE6ECA"/>
    <w:rsid w:val="73A51C06"/>
    <w:rsid w:val="752B4467"/>
    <w:rsid w:val="772054B7"/>
    <w:rsid w:val="77B64349"/>
    <w:rsid w:val="78404F59"/>
    <w:rsid w:val="78D0113A"/>
    <w:rsid w:val="79120DC0"/>
    <w:rsid w:val="7B086666"/>
    <w:rsid w:val="7B870239"/>
    <w:rsid w:val="7C007CD6"/>
    <w:rsid w:val="7C6C3669"/>
    <w:rsid w:val="7CFB2380"/>
    <w:rsid w:val="7DC1685E"/>
    <w:rsid w:val="7E4839B7"/>
    <w:rsid w:val="7E9D64A0"/>
    <w:rsid w:val="7F726CC2"/>
    <w:rsid w:val="7F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2796</Words>
  <Characters>3076</Characters>
  <Lines>0</Lines>
  <Paragraphs>0</Paragraphs>
  <TotalTime>24</TotalTime>
  <ScaleCrop>false</ScaleCrop>
  <LinksUpToDate>false</LinksUpToDate>
  <CharactersWithSpaces>3120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2021-09-23T01:41:00Z</dcterms:created>
  <dc:creator>A</dc:creator>
  <cp:keywords>CPCA, PCB, 每周资讯, 第141期</cp:keywords>
  <cp:lastModifiedBy>朕已阅</cp:lastModifiedBy>
  <cp:lastPrinted>2021-09-23T03:57:00Z</cp:lastPrinted>
  <dcterms:modified xsi:type="dcterms:W3CDTF">2026-06-25T03:04:41Z</dcterms:modified>
  <dc:subject>CPCA141期每周资讯热点报告</dc:subject>
  <dc:title>CPCA每周资讯第141期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eyJoZGlkIjoiZWFlNjQ3NDIwZDEwN2RkZjI5ZmVhOGI2NjVlYTBkMTciLCJ1c2VySWQiOiIxMzgyMTM1ODU2In0=</vt:lpwstr>
  </property>
  <property fmtid="{D5CDD505-2E9C-101B-9397-08002B2CF9AE}" pid="3" name="KSOProductBuildVer">
    <vt:lpwstr>2052-12.1.0.26895</vt:lpwstr>
  </property>
  <property fmtid="{D5CDD505-2E9C-101B-9397-08002B2CF9AE}" pid="4" name="ICV">
    <vt:lpwstr>B4BE2F722A1F4F1C995A318B3E12D533_13</vt:lpwstr>
  </property>
</Properties>
</file>